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sz w:val="24"/>
          <w:szCs w:val="24"/>
        </w:rPr>
      </w:pPr>
      <w:r w:rsidDel="00000000" w:rsidR="00000000" w:rsidRPr="00000000">
        <w:rPr>
          <w:sz w:val="24"/>
          <w:szCs w:val="24"/>
          <w:rtl w:val="0"/>
        </w:rPr>
        <w:t xml:space="preserve">TITLE: YOUNG MALE WITH PREVIOUS DIAGNOSIS OF CEREBRAL PALSY PROGRESSING TO GENERALIZED DYSTONIA.</w:t>
      </w:r>
    </w:p>
    <w:p w:rsidR="00000000" w:rsidDel="00000000" w:rsidP="00000000" w:rsidRDefault="00000000" w:rsidRPr="00000000" w14:paraId="00000002">
      <w:pPr>
        <w:spacing w:after="240" w:before="240" w:line="360" w:lineRule="auto"/>
        <w:rPr>
          <w:sz w:val="24"/>
          <w:szCs w:val="24"/>
        </w:rPr>
      </w:pPr>
      <w:r w:rsidDel="00000000" w:rsidR="00000000" w:rsidRPr="00000000">
        <w:rPr>
          <w:sz w:val="24"/>
          <w:szCs w:val="24"/>
          <w:rtl w:val="0"/>
        </w:rPr>
        <w:t xml:space="preserve">AUTHORS: Vinicius Pinheiro Soares*, Marcela de Moraes Serpa*, Roberta Monteiro de Souza*, </w:t>
      </w:r>
      <w:r w:rsidDel="00000000" w:rsidR="00000000" w:rsidRPr="00000000">
        <w:rPr>
          <w:color w:val="202124"/>
          <w:sz w:val="24"/>
          <w:szCs w:val="24"/>
          <w:rtl w:val="0"/>
        </w:rPr>
        <w:t xml:space="preserve">Lucas </w:t>
      </w:r>
      <w:hyperlink r:id="rId6">
        <w:r w:rsidDel="00000000" w:rsidR="00000000" w:rsidRPr="00000000">
          <w:rPr>
            <w:color w:val="202124"/>
            <w:sz w:val="24"/>
            <w:szCs w:val="24"/>
            <w:rtl w:val="0"/>
          </w:rPr>
          <w:t xml:space="preserve"> Leroux de Richezz</w:t>
        </w:r>
      </w:hyperlink>
      <w:r w:rsidDel="00000000" w:rsidR="00000000" w:rsidRPr="00000000">
        <w:rPr>
          <w:sz w:val="24"/>
          <w:szCs w:val="24"/>
          <w:rtl w:val="0"/>
        </w:rPr>
        <w:t xml:space="preserve">a*, </w:t>
      </w:r>
      <w:r w:rsidDel="00000000" w:rsidR="00000000" w:rsidRPr="00000000">
        <w:rPr>
          <w:sz w:val="24"/>
          <w:szCs w:val="24"/>
          <w:rtl w:val="0"/>
        </w:rPr>
        <w:t xml:space="preserve">Luiz Felipe Rocha Vasconcellos*. </w:t>
      </w:r>
    </w:p>
    <w:p w:rsidR="00000000" w:rsidDel="00000000" w:rsidP="00000000" w:rsidRDefault="00000000" w:rsidRPr="00000000" w14:paraId="00000003">
      <w:pPr>
        <w:spacing w:after="240" w:before="240" w:line="360" w:lineRule="auto"/>
        <w:rPr>
          <w:sz w:val="24"/>
          <w:szCs w:val="24"/>
        </w:rPr>
      </w:pPr>
      <w:r w:rsidDel="00000000" w:rsidR="00000000" w:rsidRPr="00000000">
        <w:rPr>
          <w:sz w:val="24"/>
          <w:szCs w:val="24"/>
          <w:rtl w:val="0"/>
        </w:rPr>
        <w:t xml:space="preserve">* Institute of Neurology Deolindo Couto, Federal University of Rio de Janeiro, BR. </w:t>
      </w:r>
    </w:p>
    <w:p w:rsidR="00000000" w:rsidDel="00000000" w:rsidP="00000000" w:rsidRDefault="00000000" w:rsidRPr="00000000" w14:paraId="00000004">
      <w:pPr>
        <w:spacing w:line="360" w:lineRule="auto"/>
        <w:jc w:val="both"/>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L.R.O.S, 24 years-old man, presented for consultation due to progressive gait disorder and generalized involuntary movement that began in adolescence with a previous history of delayed neurocognitive development (cerebral palsy). </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t xml:space="preserve">DEVELOPMENT</w:t>
      </w:r>
    </w:p>
    <w:p w:rsidR="00000000" w:rsidDel="00000000" w:rsidP="00000000" w:rsidRDefault="00000000" w:rsidRPr="00000000" w14:paraId="00000008">
      <w:pPr>
        <w:spacing w:line="360" w:lineRule="auto"/>
        <w:jc w:val="both"/>
        <w:rPr/>
      </w:pPr>
      <w:r w:rsidDel="00000000" w:rsidR="00000000" w:rsidRPr="00000000">
        <w:rPr>
          <w:rtl w:val="0"/>
        </w:rPr>
        <w:t xml:space="preserve">Grandmother reports uneventful pregnancy and childbirth, although he had a history of and epileptic seizures during the neonatal period (which did not recur </w:t>
      </w:r>
      <w:r w:rsidDel="00000000" w:rsidR="00000000" w:rsidRPr="00000000">
        <w:rPr>
          <w:rtl w:val="0"/>
        </w:rPr>
        <w:t xml:space="preserve">later</w:t>
      </w:r>
      <w:r w:rsidDel="00000000" w:rsidR="00000000" w:rsidRPr="00000000">
        <w:rPr>
          <w:rtl w:val="0"/>
        </w:rPr>
        <w:t xml:space="preserve">). He started babbling at 8-9 </w:t>
      </w:r>
      <w:r w:rsidDel="00000000" w:rsidR="00000000" w:rsidRPr="00000000">
        <w:rPr>
          <w:rtl w:val="0"/>
        </w:rPr>
        <w:t xml:space="preserve">months</w:t>
      </w:r>
      <w:r w:rsidDel="00000000" w:rsidR="00000000" w:rsidRPr="00000000">
        <w:rPr>
          <w:rtl w:val="0"/>
        </w:rPr>
        <w:t xml:space="preserve">, crawling at 6-7 months and walking around 1 year of </w:t>
      </w:r>
      <w:r w:rsidDel="00000000" w:rsidR="00000000" w:rsidRPr="00000000">
        <w:rPr>
          <w:rtl w:val="0"/>
        </w:rPr>
        <w:t xml:space="preserve">age</w:t>
      </w:r>
      <w:r w:rsidDel="00000000" w:rsidR="00000000" w:rsidRPr="00000000">
        <w:rPr>
          <w:rtl w:val="0"/>
        </w:rPr>
        <w:t xml:space="preserve">. Always studied in classes with other children with similar </w:t>
      </w:r>
      <w:r w:rsidDel="00000000" w:rsidR="00000000" w:rsidRPr="00000000">
        <w:rPr>
          <w:rtl w:val="0"/>
        </w:rPr>
        <w:t xml:space="preserve">disorders</w:t>
      </w:r>
      <w:r w:rsidDel="00000000" w:rsidR="00000000" w:rsidRPr="00000000">
        <w:rPr>
          <w:rtl w:val="0"/>
        </w:rPr>
        <w:t xml:space="preserve">, and with the guidance of a mediator. Unfortunately, he has never developed reading nor writing.</w:t>
      </w:r>
    </w:p>
    <w:p w:rsidR="00000000" w:rsidDel="00000000" w:rsidP="00000000" w:rsidRDefault="00000000" w:rsidRPr="00000000" w14:paraId="00000009">
      <w:pPr>
        <w:spacing w:line="360" w:lineRule="auto"/>
        <w:jc w:val="both"/>
        <w:rPr/>
      </w:pPr>
      <w:r w:rsidDel="00000000" w:rsidR="00000000" w:rsidRPr="00000000">
        <w:rPr>
          <w:rtl w:val="0"/>
        </w:rPr>
        <w:t xml:space="preserve">Throughout his life he has never spoken more than a few </w:t>
      </w:r>
      <w:r w:rsidDel="00000000" w:rsidR="00000000" w:rsidRPr="00000000">
        <w:rPr>
          <w:rtl w:val="0"/>
        </w:rPr>
        <w:t xml:space="preserve">monosyllables</w:t>
      </w:r>
      <w:r w:rsidDel="00000000" w:rsidR="00000000" w:rsidRPr="00000000">
        <w:rPr>
          <w:rtl w:val="0"/>
        </w:rPr>
        <w:t xml:space="preserve">, although he comprehends basic commands. </w:t>
      </w:r>
    </w:p>
    <w:p w:rsidR="00000000" w:rsidDel="00000000" w:rsidP="00000000" w:rsidRDefault="00000000" w:rsidRPr="00000000" w14:paraId="0000000A">
      <w:pPr>
        <w:spacing w:line="360" w:lineRule="auto"/>
        <w:jc w:val="both"/>
        <w:rPr/>
      </w:pPr>
      <w:r w:rsidDel="00000000" w:rsidR="00000000" w:rsidRPr="00000000">
        <w:rPr>
          <w:rtl w:val="0"/>
        </w:rPr>
        <w:t xml:space="preserve">Around the age of 18, his grandmother noticed changes in gait (described as tiptoeing and dragging one leg more than the other), uncoordinated movements of the arms, worsening of speech difficulties (no longer able to speak even monosyllables), painful neck and axial dystonic posture, in addition to dysphagia (worse for solids) and food </w:t>
      </w:r>
      <w:r w:rsidDel="00000000" w:rsidR="00000000" w:rsidRPr="00000000">
        <w:rPr>
          <w:rtl w:val="0"/>
        </w:rPr>
        <w:t xml:space="preserve">selectivity</w:t>
      </w:r>
      <w:r w:rsidDel="00000000" w:rsidR="00000000" w:rsidRPr="00000000">
        <w:rPr>
          <w:rtl w:val="0"/>
        </w:rPr>
        <w:t xml:space="preserve">.</w:t>
      </w:r>
    </w:p>
    <w:p w:rsidR="00000000" w:rsidDel="00000000" w:rsidP="00000000" w:rsidRDefault="00000000" w:rsidRPr="00000000" w14:paraId="0000000B">
      <w:pPr>
        <w:spacing w:line="360" w:lineRule="auto"/>
        <w:jc w:val="both"/>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rtl w:val="0"/>
        </w:rPr>
        <w:t xml:space="preserve">FAMILY HISTORY</w:t>
      </w:r>
    </w:p>
    <w:p w:rsidR="00000000" w:rsidDel="00000000" w:rsidP="00000000" w:rsidRDefault="00000000" w:rsidRPr="00000000" w14:paraId="0000000D">
      <w:pPr>
        <w:spacing w:line="360" w:lineRule="auto"/>
        <w:jc w:val="both"/>
        <w:rPr/>
      </w:pPr>
      <w:r w:rsidDel="00000000" w:rsidR="00000000" w:rsidRPr="00000000">
        <w:rPr>
          <w:rtl w:val="0"/>
        </w:rPr>
        <w:t xml:space="preserve">Four cases of neurological disorders are reported in the family: 1) maternal grandfather had childhood epilepsy (no cognitive impairment or movement disorders); 2) mother (44 years old) had childhood epilepsy, moderate to severe cognitive </w:t>
      </w:r>
      <w:r w:rsidDel="00000000" w:rsidR="00000000" w:rsidRPr="00000000">
        <w:rPr>
          <w:rtl w:val="0"/>
        </w:rPr>
        <w:t xml:space="preserve">impairment</w:t>
      </w:r>
      <w:r w:rsidDel="00000000" w:rsidR="00000000" w:rsidRPr="00000000">
        <w:rPr>
          <w:rtl w:val="0"/>
        </w:rPr>
        <w:t xml:space="preserve"> and dystonia; 3) younger sister (21 years old) who has practically the same symptoms (cognitive and speech impairment and dystonia); 4) maternal cousin (5 years old) with newly diagnosed epilepsy and dystonia (also depicted as tiptoeing), sadly, his father did not allow to examine the cousin. They deny consanguinity in the </w:t>
      </w:r>
      <w:r w:rsidDel="00000000" w:rsidR="00000000" w:rsidRPr="00000000">
        <w:rPr>
          <w:rtl w:val="0"/>
        </w:rPr>
        <w:t xml:space="preserve">family</w:t>
      </w: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NEUROLOGICAL EXAMINATION</w:t>
      </w:r>
    </w:p>
    <w:p w:rsidR="00000000" w:rsidDel="00000000" w:rsidP="00000000" w:rsidRDefault="00000000" w:rsidRPr="00000000" w14:paraId="00000010">
      <w:pPr>
        <w:spacing w:line="360" w:lineRule="auto"/>
        <w:jc w:val="both"/>
        <w:rPr/>
      </w:pPr>
      <w:r w:rsidDel="00000000" w:rsidR="00000000" w:rsidRPr="00000000">
        <w:rPr>
          <w:rtl w:val="0"/>
        </w:rPr>
        <w:t xml:space="preserve">Major generalized dystonia, mainly cervical and lumbar, affecting gait and basic movements. Does not communicate </w:t>
      </w:r>
      <w:r w:rsidDel="00000000" w:rsidR="00000000" w:rsidRPr="00000000">
        <w:rPr>
          <w:rtl w:val="0"/>
        </w:rPr>
        <w:t xml:space="preserve">verbally</w:t>
      </w:r>
      <w:r w:rsidDel="00000000" w:rsidR="00000000" w:rsidRPr="00000000">
        <w:rPr>
          <w:rtl w:val="0"/>
        </w:rPr>
        <w:t xml:space="preserve">. Obeys simple commands. Unaltered tone and </w:t>
      </w:r>
      <w:r w:rsidDel="00000000" w:rsidR="00000000" w:rsidRPr="00000000">
        <w:rPr>
          <w:rtl w:val="0"/>
        </w:rPr>
        <w:t xml:space="preserve">reflexes</w:t>
      </w:r>
      <w:r w:rsidDel="00000000" w:rsidR="00000000" w:rsidRPr="00000000">
        <w:rPr>
          <w:rtl w:val="0"/>
        </w:rPr>
        <w:t xml:space="preserve">.</w:t>
      </w:r>
    </w:p>
    <w:p w:rsidR="00000000" w:rsidDel="00000000" w:rsidP="00000000" w:rsidRDefault="00000000" w:rsidRPr="00000000" w14:paraId="00000011">
      <w:pPr>
        <w:spacing w:line="360" w:lineRule="auto"/>
        <w:jc w:val="both"/>
        <w:rPr/>
      </w:pP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t xml:space="preserve">COMPLEMENTARY EXAMS</w:t>
      </w:r>
    </w:p>
    <w:p w:rsidR="00000000" w:rsidDel="00000000" w:rsidP="00000000" w:rsidRDefault="00000000" w:rsidRPr="00000000" w14:paraId="00000013">
      <w:pPr>
        <w:spacing w:line="360" w:lineRule="auto"/>
        <w:jc w:val="both"/>
        <w:rPr/>
      </w:pPr>
      <w:r w:rsidDel="00000000" w:rsidR="00000000" w:rsidRPr="00000000">
        <w:rPr>
          <w:rtl w:val="0"/>
        </w:rPr>
        <w:t xml:space="preserve">Former brain MRI and electroencephalogram showed no specific alterations.</w:t>
      </w:r>
    </w:p>
    <w:p w:rsidR="00000000" w:rsidDel="00000000" w:rsidP="00000000" w:rsidRDefault="00000000" w:rsidRPr="00000000" w14:paraId="00000014">
      <w:pPr>
        <w:spacing w:line="360" w:lineRule="auto"/>
        <w:jc w:val="both"/>
        <w:rPr/>
      </w:pPr>
      <w:r w:rsidDel="00000000" w:rsidR="00000000" w:rsidRPr="00000000">
        <w:rPr>
          <w:rtl w:val="0"/>
        </w:rPr>
        <w:t xml:space="preserve">Molecular analysis by next-generation sequencing was performed to identify potentially pathogenic genetic variants.  It was identified, in heterozygosity, in the GNAO1 gene (G Protein Subunit Alpha O1, OMIM* 139311) the variant Chr16:56,351,376 G&gt;A (or alternatively c.724-8G&gt;A - ENST00000262493), which occurs in a messenger RNA processing site (splicing acceptor site).  This variant is absent among about 141,000 individuals in the world population and has never been previously described in the medical literature, however it was deposited in the ClinVar variant repository as probably pathogenic.</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jc w:val="both"/>
        <w:rPr/>
      </w:pPr>
      <w:r w:rsidDel="00000000" w:rsidR="00000000" w:rsidRPr="00000000">
        <w:rPr>
          <w:rtl w:val="0"/>
        </w:rPr>
        <w:t xml:space="preserve">REFERENCES</w:t>
      </w:r>
    </w:p>
    <w:p w:rsidR="00000000" w:rsidDel="00000000" w:rsidP="00000000" w:rsidRDefault="00000000" w:rsidRPr="00000000" w14:paraId="00000017">
      <w:pPr>
        <w:spacing w:line="360" w:lineRule="auto"/>
        <w:jc w:val="both"/>
        <w:rPr/>
      </w:pPr>
      <w:r w:rsidDel="00000000" w:rsidR="00000000" w:rsidRPr="00000000">
        <w:rPr>
          <w:rtl w:val="0"/>
        </w:rPr>
        <w:t xml:space="preserve">1 - National Center for Biotechnology Information. ClinVar; [VCV000426965.7], https://www.ncbi.nlm.nih.gov/clinvar/variation/VCV000426965.7 (accessed June 1, 2022).</w:t>
      </w:r>
    </w:p>
    <w:p w:rsidR="00000000" w:rsidDel="00000000" w:rsidP="00000000" w:rsidRDefault="00000000" w:rsidRPr="00000000" w14:paraId="00000018">
      <w:pPr>
        <w:spacing w:line="360" w:lineRule="auto"/>
        <w:jc w:val="both"/>
        <w:rPr/>
      </w:pPr>
      <w:r w:rsidDel="00000000" w:rsidR="00000000" w:rsidRPr="00000000">
        <w:rPr>
          <w:rtl w:val="0"/>
        </w:rPr>
      </w:r>
    </w:p>
    <w:p w:rsidR="00000000" w:rsidDel="00000000" w:rsidP="00000000" w:rsidRDefault="00000000" w:rsidRPr="00000000" w14:paraId="00000019">
      <w:pPr>
        <w:spacing w:line="360" w:lineRule="auto"/>
        <w:jc w:val="both"/>
        <w:rPr/>
      </w:pPr>
      <w:r w:rsidDel="00000000" w:rsidR="00000000" w:rsidRPr="00000000">
        <w:rPr>
          <w:rtl w:val="0"/>
        </w:rPr>
        <w:t xml:space="preserve">2 - Danti FR, Galosi S, Romani M, Montomoli M, Carss KJ, Raymond FL, Parrini E, Bianchini C, McShane T, Dale RC, Mohammad SS, Shah U, Mahant N, Ng J, McTague A, Samanta R, Vadlamani G, Valente EM, Leuzzi V, Kurian MA, Guerrini R. GNAO1 encephalopathy: Broadening the phenotype and evaluating treatment and outcome. Neurol Genet. 2017 Mar 21;3(2):e143. doi: 10.1212/NXG.0000000000000143. PMID: 28357411; PMCID: PMC5362187.</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ndc.ufrj.br/#collapse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