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3321E" w14:textId="77777777" w:rsidR="007C187B" w:rsidRPr="003C6316" w:rsidRDefault="007C187B" w:rsidP="003C6316">
      <w:pPr>
        <w:spacing w:line="360" w:lineRule="auto"/>
        <w:ind w:firstLine="708"/>
        <w:jc w:val="both"/>
        <w:rPr>
          <w:rFonts w:ascii="Arial" w:eastAsia="Times New Roman" w:hAnsi="Arial" w:cs="Arial"/>
          <w:b/>
          <w:bCs/>
          <w:color w:val="000000" w:themeColor="text1"/>
          <w:sz w:val="22"/>
          <w:szCs w:val="22"/>
          <w:lang w:val="en-US" w:eastAsia="pt-BR"/>
        </w:rPr>
      </w:pPr>
      <w:r w:rsidRPr="003C6316">
        <w:rPr>
          <w:rFonts w:ascii="Arial" w:eastAsia="Times New Roman" w:hAnsi="Arial" w:cs="Arial"/>
          <w:b/>
          <w:bCs/>
          <w:color w:val="000000" w:themeColor="text1"/>
          <w:sz w:val="22"/>
          <w:szCs w:val="22"/>
          <w:lang w:val="en-US" w:eastAsia="pt-BR"/>
        </w:rPr>
        <w:t>Case Report</w:t>
      </w:r>
    </w:p>
    <w:p w14:paraId="27F66D89" w14:textId="77777777" w:rsidR="007C187B" w:rsidRPr="003C6316" w:rsidRDefault="007C187B" w:rsidP="003C6316">
      <w:pPr>
        <w:spacing w:line="360" w:lineRule="auto"/>
        <w:ind w:firstLine="708"/>
        <w:jc w:val="both"/>
        <w:rPr>
          <w:rFonts w:ascii="Arial" w:eastAsia="Times New Roman" w:hAnsi="Arial" w:cs="Arial"/>
          <w:color w:val="000000" w:themeColor="text1"/>
          <w:sz w:val="22"/>
          <w:szCs w:val="22"/>
          <w:lang w:val="en-US" w:eastAsia="pt-BR"/>
        </w:rPr>
      </w:pPr>
    </w:p>
    <w:p w14:paraId="33D4E2EF" w14:textId="77777777" w:rsidR="007C187B" w:rsidRPr="003C6316" w:rsidRDefault="007C187B" w:rsidP="003C6316">
      <w:pPr>
        <w:spacing w:line="360" w:lineRule="auto"/>
        <w:ind w:firstLine="708"/>
        <w:jc w:val="both"/>
        <w:rPr>
          <w:rFonts w:ascii="Arial" w:eastAsia="Times New Roman" w:hAnsi="Arial" w:cs="Arial"/>
          <w:color w:val="000000" w:themeColor="text1"/>
          <w:sz w:val="22"/>
          <w:szCs w:val="22"/>
          <w:lang w:val="en-US" w:eastAsia="pt-BR"/>
        </w:rPr>
      </w:pPr>
      <w:r w:rsidRPr="003C6316">
        <w:rPr>
          <w:rFonts w:ascii="Arial" w:eastAsia="Times New Roman" w:hAnsi="Arial" w:cs="Arial"/>
          <w:color w:val="000000" w:themeColor="text1"/>
          <w:sz w:val="22"/>
          <w:szCs w:val="22"/>
          <w:lang w:val="en-US" w:eastAsia="pt-BR"/>
        </w:rPr>
        <w:t>A 31-year-old man presented to our service with a one-week history of mild to moderate headache, binocular vertical diplopia, and behavioral changes described as disinhibition and excessive sleepiness. It evolved in the following days with slurred speech and difficulty walking. Twenty days before the onset of symptoms, he was diagnosed with SARSCoV-2 infection. He denied other systemic signs and symptoms</w:t>
      </w:r>
      <w:r w:rsidRPr="003C6316">
        <w:rPr>
          <w:rFonts w:ascii="Arial" w:hAnsi="Arial" w:cs="Arial"/>
          <w:color w:val="000000" w:themeColor="text1"/>
          <w:sz w:val="22"/>
          <w:szCs w:val="22"/>
          <w:lang w:val="en-US"/>
        </w:rPr>
        <w:t xml:space="preserve">, </w:t>
      </w:r>
      <w:r w:rsidRPr="003C6316">
        <w:rPr>
          <w:rFonts w:ascii="Arial" w:eastAsia="Times New Roman" w:hAnsi="Arial" w:cs="Arial"/>
          <w:color w:val="000000" w:themeColor="text1"/>
          <w:sz w:val="22"/>
          <w:szCs w:val="22"/>
          <w:lang w:val="en-US" w:eastAsia="pt-BR"/>
        </w:rPr>
        <w:t xml:space="preserve">comorbidities, and environmental exposure. </w:t>
      </w:r>
    </w:p>
    <w:p w14:paraId="0912AD37" w14:textId="27F0D173" w:rsidR="007C187B" w:rsidRPr="003C6316" w:rsidRDefault="007C187B" w:rsidP="003C6316">
      <w:pPr>
        <w:spacing w:line="360" w:lineRule="auto"/>
        <w:ind w:firstLine="708"/>
        <w:jc w:val="both"/>
        <w:rPr>
          <w:rFonts w:ascii="Arial" w:eastAsia="Times New Roman" w:hAnsi="Arial" w:cs="Arial"/>
          <w:color w:val="000000" w:themeColor="text1"/>
          <w:sz w:val="22"/>
          <w:szCs w:val="22"/>
          <w:lang w:val="en-US" w:eastAsia="pt-BR"/>
        </w:rPr>
      </w:pPr>
      <w:r w:rsidRPr="003C6316">
        <w:rPr>
          <w:rFonts w:ascii="Arial" w:eastAsia="Times New Roman" w:hAnsi="Arial" w:cs="Arial"/>
          <w:color w:val="000000" w:themeColor="text1"/>
          <w:sz w:val="22"/>
          <w:szCs w:val="22"/>
          <w:lang w:val="en-US" w:eastAsia="pt-BR"/>
        </w:rPr>
        <w:t>He had mild lymphadenopathy and</w:t>
      </w:r>
      <w:r w:rsidRPr="003C6316">
        <w:rPr>
          <w:rFonts w:ascii="Arial" w:eastAsia="Times New Roman" w:hAnsi="Arial" w:cs="Arial"/>
          <w:color w:val="000000" w:themeColor="text1"/>
          <w:sz w:val="22"/>
          <w:szCs w:val="22"/>
          <w:lang w:val="en-US" w:eastAsia="pt-BR"/>
        </w:rPr>
        <w:t xml:space="preserve"> </w:t>
      </w:r>
      <w:r w:rsidRPr="003C6316">
        <w:rPr>
          <w:rFonts w:ascii="Arial" w:eastAsia="Times New Roman" w:hAnsi="Arial" w:cs="Arial"/>
          <w:color w:val="000000" w:themeColor="text1"/>
          <w:sz w:val="22"/>
          <w:szCs w:val="22"/>
          <w:lang w:val="en-US" w:eastAsia="pt-BR"/>
        </w:rPr>
        <w:t xml:space="preserve">urticarial plaques on the face and proximal portion of the upper limbs, with associated excoriations on his physical examination. His neurological exam showed </w:t>
      </w:r>
      <w:r w:rsidRPr="003C6316">
        <w:rPr>
          <w:rFonts w:ascii="Arial" w:hAnsi="Arial" w:cs="Arial"/>
          <w:color w:val="000000" w:themeColor="text1"/>
          <w:sz w:val="22"/>
          <w:szCs w:val="22"/>
          <w:lang w:val="en-US"/>
        </w:rPr>
        <w:t xml:space="preserve">psychomotor slowing, </w:t>
      </w:r>
      <w:r w:rsidRPr="003C6316">
        <w:rPr>
          <w:rFonts w:ascii="Arial" w:eastAsia="Times New Roman" w:hAnsi="Arial" w:cs="Arial"/>
          <w:color w:val="000000" w:themeColor="text1"/>
          <w:sz w:val="22"/>
          <w:szCs w:val="22"/>
          <w:lang w:val="en-US" w:eastAsia="pt-BR"/>
        </w:rPr>
        <w:t xml:space="preserve">inattention, dysarthria, bilateral vertical gaze and adduction paresis, </w:t>
      </w:r>
      <w:r w:rsidRPr="003C6316">
        <w:rPr>
          <w:rFonts w:ascii="Arial" w:hAnsi="Arial" w:cs="Arial"/>
          <w:color w:val="000000" w:themeColor="text1"/>
          <w:sz w:val="22"/>
          <w:szCs w:val="22"/>
          <w:lang w:val="en-US"/>
        </w:rPr>
        <w:t>right mild facial paresis,</w:t>
      </w:r>
      <w:r w:rsidRPr="003C6316">
        <w:rPr>
          <w:rFonts w:ascii="Arial" w:eastAsia="Times New Roman" w:hAnsi="Arial" w:cs="Arial"/>
          <w:color w:val="000000" w:themeColor="text1"/>
          <w:sz w:val="22"/>
          <w:szCs w:val="22"/>
          <w:lang w:val="en-US" w:eastAsia="pt-BR"/>
        </w:rPr>
        <w:t xml:space="preserve"> discrete dysmetria in the upper limbs, and broad-based gait with difficulty in tandem</w:t>
      </w:r>
      <w:r w:rsidRPr="003C6316">
        <w:rPr>
          <w:rFonts w:ascii="Arial" w:hAnsi="Arial" w:cs="Arial"/>
          <w:color w:val="000000" w:themeColor="text1"/>
          <w:sz w:val="22"/>
          <w:szCs w:val="22"/>
          <w:lang w:val="en-US"/>
        </w:rPr>
        <w:t>.</w:t>
      </w:r>
    </w:p>
    <w:p w14:paraId="2C8BC7E9" w14:textId="77777777" w:rsidR="007C187B" w:rsidRPr="003C6316" w:rsidRDefault="007C187B" w:rsidP="003C6316">
      <w:pPr>
        <w:spacing w:line="360" w:lineRule="auto"/>
        <w:ind w:firstLine="708"/>
        <w:jc w:val="both"/>
        <w:rPr>
          <w:rFonts w:ascii="Arial" w:eastAsia="Times New Roman" w:hAnsi="Arial" w:cs="Arial"/>
          <w:color w:val="000000" w:themeColor="text1"/>
          <w:sz w:val="22"/>
          <w:szCs w:val="22"/>
          <w:lang w:val="en-US" w:eastAsia="pt-BR"/>
        </w:rPr>
      </w:pPr>
      <w:r w:rsidRPr="003C6316">
        <w:rPr>
          <w:rFonts w:ascii="Arial" w:eastAsia="Times New Roman" w:hAnsi="Arial" w:cs="Arial"/>
          <w:color w:val="000000" w:themeColor="text1"/>
          <w:sz w:val="22"/>
          <w:szCs w:val="22"/>
          <w:lang w:val="en-US" w:eastAsia="pt-BR"/>
        </w:rPr>
        <w:t xml:space="preserve">Brain MRI showed lesions with hyperintensities on T2 and FLAIR and iso signal on T1, mostly with bilateral and symmetrical distribution in the basal ganglia and cerebral peduncles in the midbrain with slight contrast enhancement.  </w:t>
      </w:r>
    </w:p>
    <w:p w14:paraId="09810094" w14:textId="77777777" w:rsidR="007C187B" w:rsidRPr="003C6316" w:rsidRDefault="007C187B" w:rsidP="003C6316">
      <w:pPr>
        <w:spacing w:line="360" w:lineRule="auto"/>
        <w:ind w:firstLine="708"/>
        <w:jc w:val="both"/>
        <w:rPr>
          <w:rFonts w:ascii="Arial" w:eastAsia="Times New Roman" w:hAnsi="Arial" w:cs="Arial"/>
          <w:color w:val="000000" w:themeColor="text1"/>
          <w:sz w:val="22"/>
          <w:szCs w:val="22"/>
          <w:lang w:val="en-US" w:eastAsia="pt-BR"/>
        </w:rPr>
      </w:pPr>
      <w:r w:rsidRPr="003C6316">
        <w:rPr>
          <w:rFonts w:ascii="Arial" w:hAnsi="Arial" w:cs="Arial"/>
          <w:color w:val="000000" w:themeColor="text1"/>
          <w:sz w:val="22"/>
          <w:szCs w:val="22"/>
          <w:lang w:val="en-US"/>
        </w:rPr>
        <w:t>Cerebrospinal fluid (CFS) showed moderate pleocytosis (50 cells/mm</w:t>
      </w:r>
      <w:r w:rsidRPr="003C6316">
        <w:rPr>
          <w:rFonts w:ascii="Arial" w:hAnsi="Arial" w:cs="Arial"/>
          <w:color w:val="000000" w:themeColor="text1"/>
          <w:position w:val="6"/>
          <w:sz w:val="22"/>
          <w:szCs w:val="22"/>
          <w:lang w:val="en-US"/>
        </w:rPr>
        <w:t>3</w:t>
      </w:r>
      <w:r w:rsidRPr="003C6316">
        <w:rPr>
          <w:rFonts w:ascii="Arial" w:hAnsi="Arial" w:cs="Arial"/>
          <w:color w:val="000000" w:themeColor="text1"/>
          <w:sz w:val="22"/>
          <w:szCs w:val="22"/>
          <w:lang w:val="en-US"/>
        </w:rPr>
        <w:t>, predominantly lymphomononuclear), without biochemical changes.</w:t>
      </w:r>
    </w:p>
    <w:p w14:paraId="34FFD375" w14:textId="77777777" w:rsidR="007C187B" w:rsidRPr="003C6316" w:rsidRDefault="007C187B" w:rsidP="00487FD7">
      <w:pPr>
        <w:spacing w:line="360" w:lineRule="auto"/>
        <w:ind w:firstLine="708"/>
        <w:jc w:val="both"/>
        <w:rPr>
          <w:rFonts w:ascii="Arial" w:eastAsia="Times New Roman" w:hAnsi="Arial" w:cs="Arial"/>
          <w:color w:val="000000" w:themeColor="text1"/>
          <w:sz w:val="22"/>
          <w:szCs w:val="22"/>
          <w:lang w:val="en-US" w:eastAsia="pt-BR"/>
        </w:rPr>
      </w:pPr>
      <w:r w:rsidRPr="003C6316">
        <w:rPr>
          <w:rFonts w:ascii="Arial" w:eastAsia="Times New Roman" w:hAnsi="Arial" w:cs="Arial"/>
          <w:color w:val="000000" w:themeColor="text1"/>
          <w:sz w:val="22"/>
          <w:szCs w:val="22"/>
          <w:lang w:val="en-US" w:eastAsia="pt-BR"/>
        </w:rPr>
        <w:t xml:space="preserve">Empirical therapy for cryptococcosis and bacterial infection was started </w:t>
      </w:r>
      <w:r w:rsidRPr="003C6316">
        <w:rPr>
          <w:rStyle w:val="y2iqfc"/>
          <w:rFonts w:ascii="Arial" w:hAnsi="Arial" w:cs="Arial"/>
          <w:color w:val="000000" w:themeColor="text1"/>
          <w:sz w:val="22"/>
          <w:szCs w:val="22"/>
          <w:lang w:val="en"/>
        </w:rPr>
        <w:t xml:space="preserve">with amphotericin B, ceftriaxone, and ampicillin. Despite treatment, </w:t>
      </w:r>
      <w:proofErr w:type="spellStart"/>
      <w:r w:rsidRPr="003C6316">
        <w:rPr>
          <w:rFonts w:ascii="Arial" w:eastAsia="Times New Roman" w:hAnsi="Arial" w:cs="Arial"/>
          <w:color w:val="000000" w:themeColor="text1"/>
          <w:sz w:val="22"/>
          <w:szCs w:val="22"/>
          <w:lang w:val="en" w:eastAsia="pt-BR"/>
        </w:rPr>
        <w:t>t</w:t>
      </w:r>
      <w:r w:rsidRPr="003C6316">
        <w:rPr>
          <w:rFonts w:ascii="Arial" w:eastAsia="Times New Roman" w:hAnsi="Arial" w:cs="Arial"/>
          <w:color w:val="000000" w:themeColor="text1"/>
          <w:sz w:val="22"/>
          <w:szCs w:val="22"/>
          <w:lang w:val="en-US" w:eastAsia="pt-BR"/>
        </w:rPr>
        <w:t>he</w:t>
      </w:r>
      <w:proofErr w:type="spellEnd"/>
      <w:r w:rsidRPr="003C6316">
        <w:rPr>
          <w:rFonts w:ascii="Arial" w:eastAsia="Times New Roman" w:hAnsi="Arial" w:cs="Arial"/>
          <w:color w:val="000000" w:themeColor="text1"/>
          <w:sz w:val="22"/>
          <w:szCs w:val="22"/>
          <w:lang w:val="en-US" w:eastAsia="pt-BR"/>
        </w:rPr>
        <w:t xml:space="preserve"> patient had worsened, presenting a decreased level of consciousness and </w:t>
      </w:r>
      <w:proofErr w:type="spellStart"/>
      <w:r w:rsidRPr="003C6316">
        <w:rPr>
          <w:rFonts w:ascii="Arial" w:eastAsia="Times New Roman" w:hAnsi="Arial" w:cs="Arial"/>
          <w:color w:val="000000" w:themeColor="text1"/>
          <w:sz w:val="22"/>
          <w:szCs w:val="22"/>
          <w:lang w:val="en-US" w:eastAsia="pt-BR"/>
        </w:rPr>
        <w:t>ophthalmoparesis</w:t>
      </w:r>
      <w:proofErr w:type="spellEnd"/>
      <w:r w:rsidRPr="003C6316">
        <w:rPr>
          <w:rFonts w:ascii="Arial" w:eastAsia="Times New Roman" w:hAnsi="Arial" w:cs="Arial"/>
          <w:color w:val="000000" w:themeColor="text1"/>
          <w:sz w:val="22"/>
          <w:szCs w:val="22"/>
          <w:lang w:val="en-US" w:eastAsia="pt-BR"/>
        </w:rPr>
        <w:t xml:space="preserve">, requiring orotracheal intubation. </w:t>
      </w:r>
    </w:p>
    <w:p w14:paraId="555FF0FE" w14:textId="77777777" w:rsidR="007C187B" w:rsidRPr="003C6316" w:rsidRDefault="007C187B" w:rsidP="003C6316">
      <w:pPr>
        <w:spacing w:line="360" w:lineRule="auto"/>
        <w:ind w:firstLine="708"/>
        <w:jc w:val="both"/>
        <w:rPr>
          <w:rFonts w:ascii="Arial" w:eastAsia="Times New Roman" w:hAnsi="Arial" w:cs="Arial"/>
          <w:color w:val="000000" w:themeColor="text1"/>
          <w:sz w:val="22"/>
          <w:szCs w:val="22"/>
          <w:lang w:val="en-US" w:eastAsia="pt-BR"/>
        </w:rPr>
      </w:pPr>
      <w:r w:rsidRPr="003C6316">
        <w:rPr>
          <w:rFonts w:ascii="Arial" w:eastAsia="Times New Roman" w:hAnsi="Arial" w:cs="Arial"/>
          <w:color w:val="000000" w:themeColor="text1"/>
          <w:sz w:val="22"/>
          <w:szCs w:val="22"/>
          <w:lang w:val="en-US" w:eastAsia="pt-BR"/>
        </w:rPr>
        <w:t xml:space="preserve">Serum serologies for HIV, VDRL, Hepatitis B, arboviruses, toxoplasmosis (IgG and IgM), histoplasmosis, and cryptococcosis were negative. Rheumatological testing was negative, except for antinuclear antibody (ANA) with unspecific result (1:320 dense, fine </w:t>
      </w:r>
      <w:r w:rsidRPr="003C6316">
        <w:rPr>
          <w:rFonts w:ascii="Arial" w:eastAsia="Times New Roman" w:hAnsi="Arial" w:cs="Arial"/>
          <w:color w:val="000000" w:themeColor="text1"/>
          <w:sz w:val="22"/>
          <w:szCs w:val="22"/>
          <w:shd w:val="clear" w:color="auto" w:fill="FFFFFF"/>
          <w:lang w:val="en-US" w:eastAsia="pt-BR"/>
        </w:rPr>
        <w:t>speckled pattern)</w:t>
      </w:r>
      <w:r w:rsidRPr="003C6316">
        <w:rPr>
          <w:rFonts w:ascii="Arial" w:eastAsia="Times New Roman" w:hAnsi="Arial" w:cs="Arial"/>
          <w:color w:val="000000" w:themeColor="text1"/>
          <w:sz w:val="22"/>
          <w:szCs w:val="22"/>
          <w:lang w:val="en-US" w:eastAsia="pt-BR"/>
        </w:rPr>
        <w:t>.</w:t>
      </w:r>
    </w:p>
    <w:p w14:paraId="5CAD10AC" w14:textId="77777777" w:rsidR="007C187B" w:rsidRPr="003C6316" w:rsidRDefault="007C187B" w:rsidP="003C6316">
      <w:pPr>
        <w:spacing w:line="360" w:lineRule="auto"/>
        <w:ind w:firstLine="708"/>
        <w:jc w:val="both"/>
        <w:rPr>
          <w:rFonts w:ascii="Arial" w:hAnsi="Arial" w:cs="Arial"/>
          <w:color w:val="000000" w:themeColor="text1"/>
          <w:sz w:val="22"/>
          <w:szCs w:val="22"/>
          <w:lang w:val="en"/>
        </w:rPr>
      </w:pPr>
      <w:r w:rsidRPr="003C6316">
        <w:rPr>
          <w:rFonts w:ascii="Arial" w:eastAsia="Times New Roman" w:hAnsi="Arial" w:cs="Arial"/>
          <w:color w:val="000000" w:themeColor="text1"/>
          <w:sz w:val="22"/>
          <w:szCs w:val="22"/>
          <w:lang w:val="en-US" w:eastAsia="pt-BR"/>
        </w:rPr>
        <w:t xml:space="preserve">Subsequent CSF analyses maintained the same pattern described. </w:t>
      </w:r>
      <w:r w:rsidRPr="003C6316">
        <w:rPr>
          <w:rFonts w:ascii="Arial" w:eastAsia="Times New Roman" w:hAnsi="Arial" w:cs="Arial"/>
          <w:color w:val="000000" w:themeColor="text1"/>
          <w:sz w:val="22"/>
          <w:szCs w:val="22"/>
          <w:lang w:val="en" w:eastAsia="pt-BR"/>
        </w:rPr>
        <w:t xml:space="preserve">A wide, infectious screening performed with serology, </w:t>
      </w:r>
      <w:proofErr w:type="spellStart"/>
      <w:r w:rsidRPr="003C6316">
        <w:rPr>
          <w:rFonts w:ascii="Arial" w:eastAsia="Times New Roman" w:hAnsi="Arial" w:cs="Arial"/>
          <w:color w:val="000000" w:themeColor="text1"/>
          <w:sz w:val="22"/>
          <w:szCs w:val="22"/>
          <w:lang w:val="en" w:eastAsia="pt-BR"/>
        </w:rPr>
        <w:t>genexpert</w:t>
      </w:r>
      <w:proofErr w:type="spellEnd"/>
      <w:r w:rsidRPr="003C6316">
        <w:rPr>
          <w:rFonts w:ascii="Arial" w:eastAsia="Times New Roman" w:hAnsi="Arial" w:cs="Arial"/>
          <w:color w:val="000000" w:themeColor="text1"/>
          <w:sz w:val="22"/>
          <w:szCs w:val="22"/>
          <w:lang w:val="en" w:eastAsia="pt-BR"/>
        </w:rPr>
        <w:t>, latex test, molecular testing (PCR), and metagenomic analysis was</w:t>
      </w:r>
      <w:r w:rsidRPr="003C6316">
        <w:rPr>
          <w:rFonts w:ascii="Arial" w:hAnsi="Arial" w:cs="Arial"/>
          <w:color w:val="000000" w:themeColor="text1"/>
          <w:sz w:val="22"/>
          <w:szCs w:val="22"/>
          <w:lang w:val="en"/>
        </w:rPr>
        <w:t xml:space="preserve"> </w:t>
      </w:r>
      <w:r w:rsidRPr="003C6316">
        <w:rPr>
          <w:rFonts w:ascii="Arial" w:eastAsia="Times New Roman" w:hAnsi="Arial" w:cs="Arial"/>
          <w:color w:val="000000" w:themeColor="text1"/>
          <w:sz w:val="22"/>
          <w:szCs w:val="22"/>
          <w:lang w:val="en" w:eastAsia="pt-BR"/>
        </w:rPr>
        <w:t>normal</w:t>
      </w:r>
      <w:r w:rsidRPr="003C6316">
        <w:rPr>
          <w:rFonts w:ascii="Arial" w:hAnsi="Arial" w:cs="Arial"/>
          <w:color w:val="000000" w:themeColor="text1"/>
          <w:sz w:val="22"/>
          <w:szCs w:val="22"/>
          <w:lang w:val="en"/>
        </w:rPr>
        <w:t xml:space="preserve">, including CFS PCR for toxoplasmosis. </w:t>
      </w:r>
    </w:p>
    <w:p w14:paraId="6B490DED" w14:textId="77777777" w:rsidR="004C7921" w:rsidRDefault="007C187B" w:rsidP="003C6316">
      <w:pPr>
        <w:spacing w:line="360" w:lineRule="auto"/>
        <w:ind w:firstLine="708"/>
        <w:jc w:val="both"/>
        <w:rPr>
          <w:rFonts w:ascii="Arial" w:eastAsia="Times New Roman" w:hAnsi="Arial" w:cs="Arial"/>
          <w:color w:val="000000" w:themeColor="text1"/>
          <w:sz w:val="22"/>
          <w:szCs w:val="22"/>
          <w:lang w:val="en-US" w:eastAsia="pt-BR"/>
        </w:rPr>
      </w:pPr>
      <w:r w:rsidRPr="003C6316">
        <w:rPr>
          <w:rFonts w:ascii="Arial" w:eastAsia="Times New Roman" w:hAnsi="Arial" w:cs="Arial"/>
          <w:color w:val="000000" w:themeColor="text1"/>
          <w:sz w:val="22"/>
          <w:szCs w:val="22"/>
          <w:lang w:val="en-US" w:eastAsia="pt-BR"/>
        </w:rPr>
        <w:t>A new brain MRI was performed that showed worsening of pre-existing lesions.</w:t>
      </w:r>
      <w:r w:rsidRPr="003C6316">
        <w:rPr>
          <w:rFonts w:ascii="Arial" w:hAnsi="Arial" w:cs="Arial"/>
          <w:color w:val="000000" w:themeColor="text1"/>
          <w:sz w:val="22"/>
          <w:szCs w:val="22"/>
          <w:lang w:val="en-US"/>
        </w:rPr>
        <w:t xml:space="preserve"> </w:t>
      </w:r>
      <w:r w:rsidRPr="003C6316">
        <w:rPr>
          <w:rFonts w:ascii="Arial" w:eastAsia="Times New Roman" w:hAnsi="Arial" w:cs="Arial"/>
          <w:color w:val="000000" w:themeColor="text1"/>
          <w:sz w:val="22"/>
          <w:szCs w:val="22"/>
          <w:lang w:val="en-US" w:eastAsia="pt-BR"/>
        </w:rPr>
        <w:t xml:space="preserve">He was than treated with immunoglobulin (2g/kg over five days) followed by methylprednisolone 1g/day IV for five days. He evolved with clinical worsening in the following weeks, presenting dysautonomia (hemodynamic instability, tachycardia, and hyperthermia), Cheyne-Stokes respiration, and spasticity affecting all four limbs. </w:t>
      </w:r>
    </w:p>
    <w:p w14:paraId="76656C80" w14:textId="27365AE0" w:rsidR="007C187B" w:rsidRPr="003C6316" w:rsidRDefault="007C187B" w:rsidP="003C6316">
      <w:pPr>
        <w:spacing w:line="360" w:lineRule="auto"/>
        <w:ind w:firstLine="708"/>
        <w:jc w:val="both"/>
        <w:rPr>
          <w:rFonts w:ascii="Arial" w:hAnsi="Arial" w:cs="Arial"/>
          <w:sz w:val="22"/>
          <w:szCs w:val="22"/>
          <w:lang w:val="en-US"/>
        </w:rPr>
      </w:pPr>
      <w:r w:rsidRPr="003C6316">
        <w:rPr>
          <w:rFonts w:ascii="Arial" w:eastAsia="Times New Roman" w:hAnsi="Arial" w:cs="Arial"/>
          <w:color w:val="000000" w:themeColor="text1"/>
          <w:sz w:val="22"/>
          <w:szCs w:val="22"/>
          <w:lang w:val="en-US" w:eastAsia="pt-BR"/>
        </w:rPr>
        <w:t xml:space="preserve">A brain biopsy was planned. A new </w:t>
      </w:r>
      <w:r w:rsidRPr="003C6316">
        <w:rPr>
          <w:rFonts w:ascii="Arial" w:hAnsi="Arial" w:cs="Arial"/>
          <w:sz w:val="22"/>
          <w:szCs w:val="22"/>
          <w:lang w:val="en-US"/>
        </w:rPr>
        <w:t>cerebrospinal fluid sample came positive for toxoplasmosis (PCR). Treatment with trimethoprim</w:t>
      </w:r>
      <w:r w:rsidRPr="003C6316">
        <w:rPr>
          <w:rFonts w:ascii="Arial" w:hAnsi="Arial" w:cs="Arial"/>
          <w:sz w:val="22"/>
          <w:szCs w:val="22"/>
          <w:shd w:val="clear" w:color="auto" w:fill="FFFFFF"/>
          <w:lang w:val="en-US"/>
        </w:rPr>
        <w:t>-</w:t>
      </w:r>
      <w:r w:rsidRPr="003C6316">
        <w:rPr>
          <w:rFonts w:ascii="Arial" w:hAnsi="Arial" w:cs="Arial"/>
          <w:sz w:val="22"/>
          <w:szCs w:val="22"/>
          <w:lang w:val="en-US"/>
        </w:rPr>
        <w:t>sulfamethoxazole</w:t>
      </w:r>
      <w:r w:rsidRPr="003C6316">
        <w:rPr>
          <w:rFonts w:ascii="Arial" w:hAnsi="Arial" w:cs="Arial"/>
          <w:sz w:val="22"/>
          <w:szCs w:val="22"/>
          <w:shd w:val="clear" w:color="auto" w:fill="FFFFFF"/>
          <w:lang w:val="en-US"/>
        </w:rPr>
        <w:t xml:space="preserve"> (TMP-SMX) </w:t>
      </w:r>
      <w:r w:rsidRPr="003C6316">
        <w:rPr>
          <w:rFonts w:ascii="Arial" w:hAnsi="Arial" w:cs="Arial"/>
          <w:sz w:val="22"/>
          <w:szCs w:val="22"/>
          <w:lang w:val="en-US"/>
        </w:rPr>
        <w:t xml:space="preserve">5 </w:t>
      </w:r>
      <w:r w:rsidRPr="003C6316">
        <w:rPr>
          <w:rFonts w:ascii="Arial" w:hAnsi="Arial" w:cs="Arial"/>
          <w:sz w:val="22"/>
          <w:szCs w:val="22"/>
          <w:lang w:val="en-US"/>
        </w:rPr>
        <w:lastRenderedPageBreak/>
        <w:t>mg</w:t>
      </w:r>
      <w:r w:rsidRPr="003C6316">
        <w:rPr>
          <w:rFonts w:ascii="Arial" w:hAnsi="Arial" w:cs="Arial"/>
          <w:sz w:val="22"/>
          <w:szCs w:val="22"/>
          <w:shd w:val="clear" w:color="auto" w:fill="FFFFFF"/>
          <w:lang w:val="en-US"/>
        </w:rPr>
        <w:t>/</w:t>
      </w:r>
      <w:r w:rsidRPr="003C6316">
        <w:rPr>
          <w:rFonts w:ascii="Arial" w:hAnsi="Arial" w:cs="Arial"/>
          <w:sz w:val="22"/>
          <w:szCs w:val="22"/>
          <w:lang w:val="en-US"/>
        </w:rPr>
        <w:t>kg</w:t>
      </w:r>
      <w:r w:rsidRPr="003C6316">
        <w:rPr>
          <w:rFonts w:ascii="Arial" w:hAnsi="Arial" w:cs="Arial"/>
          <w:sz w:val="22"/>
          <w:szCs w:val="22"/>
          <w:shd w:val="clear" w:color="auto" w:fill="FFFFFF"/>
          <w:lang w:val="en-US"/>
        </w:rPr>
        <w:t>/dose (</w:t>
      </w:r>
      <w:r w:rsidRPr="003C6316">
        <w:rPr>
          <w:rFonts w:ascii="Arial" w:hAnsi="Arial" w:cs="Arial"/>
          <w:sz w:val="22"/>
          <w:szCs w:val="22"/>
          <w:lang w:val="en-US"/>
        </w:rPr>
        <w:t>TMP</w:t>
      </w:r>
      <w:r w:rsidRPr="003C6316">
        <w:rPr>
          <w:rFonts w:ascii="Arial" w:hAnsi="Arial" w:cs="Arial"/>
          <w:sz w:val="22"/>
          <w:szCs w:val="22"/>
          <w:shd w:val="clear" w:color="auto" w:fill="FFFFFF"/>
          <w:lang w:val="en-US"/>
        </w:rPr>
        <w:t> component) twice daily</w:t>
      </w:r>
      <w:r w:rsidRPr="003C6316">
        <w:rPr>
          <w:rFonts w:ascii="Arial" w:hAnsi="Arial" w:cs="Arial"/>
          <w:sz w:val="22"/>
          <w:szCs w:val="22"/>
          <w:lang w:val="en-US"/>
        </w:rPr>
        <w:t xml:space="preserve"> was started </w:t>
      </w:r>
      <w:r w:rsidRPr="003C6316">
        <w:rPr>
          <w:rStyle w:val="y2iqfc"/>
          <w:rFonts w:ascii="Arial" w:hAnsi="Arial" w:cs="Arial"/>
          <w:color w:val="000000" w:themeColor="text1"/>
          <w:sz w:val="22"/>
          <w:szCs w:val="22"/>
          <w:lang w:val="en"/>
        </w:rPr>
        <w:t>due to unavailability of first-line therapy</w:t>
      </w:r>
      <w:r w:rsidRPr="003C6316">
        <w:rPr>
          <w:rFonts w:ascii="Arial" w:hAnsi="Arial" w:cs="Arial"/>
          <w:sz w:val="22"/>
          <w:szCs w:val="22"/>
          <w:lang w:val="en-US"/>
        </w:rPr>
        <w:t xml:space="preserve">. </w:t>
      </w:r>
    </w:p>
    <w:p w14:paraId="2C00586C" w14:textId="77777777" w:rsidR="007C187B" w:rsidRPr="003C6316" w:rsidRDefault="007C187B" w:rsidP="003C6316">
      <w:pPr>
        <w:spacing w:line="360" w:lineRule="auto"/>
        <w:ind w:firstLine="708"/>
        <w:jc w:val="both"/>
        <w:rPr>
          <w:rFonts w:ascii="Arial" w:hAnsi="Arial" w:cs="Arial"/>
          <w:color w:val="000000" w:themeColor="text1"/>
          <w:sz w:val="22"/>
          <w:szCs w:val="22"/>
          <w:lang w:val="en-US"/>
        </w:rPr>
      </w:pPr>
      <w:r w:rsidRPr="003C6316">
        <w:rPr>
          <w:rFonts w:ascii="Arial" w:hAnsi="Arial" w:cs="Arial"/>
          <w:color w:val="000000" w:themeColor="text1"/>
          <w:sz w:val="22"/>
          <w:szCs w:val="22"/>
          <w:lang w:val="en-US"/>
        </w:rPr>
        <w:t>After 2 months of admission, the serum serology for toxoplasmosis was repeated and was again negative. T-lymphocyte count (CD4+ 532 CD8+ 429 CD4/CD8: 1.240) and serum immunoglobulin (IgG and IgM) levels were normal.</w:t>
      </w:r>
    </w:p>
    <w:p w14:paraId="244CECB2" w14:textId="15D01BAA" w:rsidR="007C187B" w:rsidRPr="003C6316" w:rsidRDefault="003C6316" w:rsidP="003C6316">
      <w:pPr>
        <w:pStyle w:val="Pr-formataoHTML"/>
        <w:spacing w:line="360" w:lineRule="auto"/>
        <w:jc w:val="both"/>
        <w:rPr>
          <w:rFonts w:ascii="Arial" w:hAnsi="Arial" w:cs="Arial"/>
          <w:color w:val="000000" w:themeColor="text1"/>
          <w:sz w:val="22"/>
          <w:szCs w:val="22"/>
          <w:lang w:val="en-US"/>
        </w:rPr>
      </w:pPr>
      <w:r>
        <w:rPr>
          <w:rFonts w:ascii="Arial" w:hAnsi="Arial" w:cs="Arial"/>
          <w:color w:val="000000" w:themeColor="text1"/>
          <w:sz w:val="22"/>
          <w:szCs w:val="22"/>
          <w:lang w:val="en-US"/>
        </w:rPr>
        <w:tab/>
      </w:r>
      <w:r w:rsidR="007C187B" w:rsidRPr="003C6316">
        <w:rPr>
          <w:rFonts w:ascii="Arial" w:hAnsi="Arial" w:cs="Arial"/>
          <w:color w:val="000000" w:themeColor="text1"/>
          <w:sz w:val="22"/>
          <w:szCs w:val="22"/>
          <w:lang w:val="en-US"/>
        </w:rPr>
        <w:t xml:space="preserve">Despite the absence of seroconversion, the patient evolved with subsequent remarkable clinical and radiological improvement, which reinforces the diagnosis of </w:t>
      </w:r>
      <w:proofErr w:type="spellStart"/>
      <w:r w:rsidR="007C187B" w:rsidRPr="003C6316">
        <w:rPr>
          <w:rFonts w:ascii="Arial" w:hAnsi="Arial" w:cs="Arial"/>
          <w:color w:val="000000" w:themeColor="text1"/>
          <w:sz w:val="22"/>
          <w:szCs w:val="22"/>
          <w:lang w:val="en-US"/>
        </w:rPr>
        <w:t>neurotoxoplasmosis</w:t>
      </w:r>
      <w:proofErr w:type="spellEnd"/>
      <w:r w:rsidR="007C187B" w:rsidRPr="003C6316">
        <w:rPr>
          <w:rFonts w:ascii="Arial" w:hAnsi="Arial" w:cs="Arial"/>
          <w:color w:val="000000" w:themeColor="text1"/>
          <w:sz w:val="22"/>
          <w:szCs w:val="22"/>
          <w:lang w:val="en-US"/>
        </w:rPr>
        <w:t>.</w:t>
      </w:r>
    </w:p>
    <w:p w14:paraId="36212AC0" w14:textId="77777777" w:rsidR="007C187B" w:rsidRPr="003C6316" w:rsidRDefault="007C187B" w:rsidP="003C6316">
      <w:pPr>
        <w:spacing w:line="360" w:lineRule="auto"/>
        <w:rPr>
          <w:rFonts w:ascii="Arial" w:hAnsi="Arial" w:cs="Arial"/>
          <w:sz w:val="22"/>
          <w:szCs w:val="22"/>
          <w:lang w:val="en-US"/>
        </w:rPr>
      </w:pPr>
    </w:p>
    <w:p w14:paraId="3171E988" w14:textId="77777777" w:rsidR="007C187B" w:rsidRPr="003C6316" w:rsidRDefault="007C187B" w:rsidP="003C6316">
      <w:pPr>
        <w:spacing w:line="360" w:lineRule="auto"/>
        <w:rPr>
          <w:rFonts w:ascii="Arial" w:hAnsi="Arial" w:cs="Arial"/>
          <w:b/>
          <w:bCs/>
          <w:sz w:val="22"/>
          <w:szCs w:val="22"/>
          <w:lang w:val="en-US"/>
        </w:rPr>
      </w:pPr>
      <w:r w:rsidRPr="003C6316">
        <w:rPr>
          <w:rFonts w:ascii="Arial" w:hAnsi="Arial" w:cs="Arial"/>
          <w:b/>
          <w:bCs/>
          <w:sz w:val="22"/>
          <w:szCs w:val="22"/>
          <w:lang w:val="en-US"/>
        </w:rPr>
        <w:t xml:space="preserve">Discussion </w:t>
      </w:r>
    </w:p>
    <w:p w14:paraId="7A18E1D1" w14:textId="77777777" w:rsidR="007C187B" w:rsidRPr="003C6316" w:rsidRDefault="007C187B" w:rsidP="003C6316">
      <w:pPr>
        <w:spacing w:line="360" w:lineRule="auto"/>
        <w:rPr>
          <w:rFonts w:ascii="Arial" w:hAnsi="Arial" w:cs="Arial"/>
          <w:sz w:val="22"/>
          <w:szCs w:val="22"/>
          <w:lang w:val="en-US"/>
        </w:rPr>
      </w:pPr>
    </w:p>
    <w:p w14:paraId="279BFFD8" w14:textId="57DE3520" w:rsidR="007C187B" w:rsidRPr="00523A95" w:rsidRDefault="007C187B" w:rsidP="003C6316">
      <w:pPr>
        <w:spacing w:line="360" w:lineRule="auto"/>
        <w:ind w:firstLine="708"/>
        <w:jc w:val="both"/>
        <w:rPr>
          <w:rFonts w:ascii="Arial" w:hAnsi="Arial" w:cs="Arial"/>
          <w:color w:val="000000" w:themeColor="text1"/>
          <w:sz w:val="22"/>
          <w:szCs w:val="22"/>
          <w:vertAlign w:val="superscript"/>
          <w:lang w:val="en-US"/>
        </w:rPr>
      </w:pPr>
      <w:r w:rsidRPr="003C6316">
        <w:rPr>
          <w:rFonts w:ascii="Arial" w:hAnsi="Arial" w:cs="Arial"/>
          <w:color w:val="000000" w:themeColor="text1"/>
          <w:sz w:val="22"/>
          <w:szCs w:val="22"/>
          <w:lang w:val="en-US"/>
        </w:rPr>
        <w:t xml:space="preserve">Toxoplasmosis is a disease described worldwide, caused by the protozoan </w:t>
      </w:r>
      <w:r w:rsidRPr="003C6316">
        <w:rPr>
          <w:rFonts w:ascii="Arial" w:hAnsi="Arial" w:cs="Arial"/>
          <w:i/>
          <w:iCs/>
          <w:color w:val="000000" w:themeColor="text1"/>
          <w:sz w:val="22"/>
          <w:szCs w:val="22"/>
          <w:lang w:val="en-US"/>
        </w:rPr>
        <w:t>Toxoplasma gondii</w:t>
      </w:r>
      <w:r w:rsidRPr="003C6316">
        <w:rPr>
          <w:rFonts w:ascii="Arial" w:hAnsi="Arial" w:cs="Arial"/>
          <w:color w:val="000000" w:themeColor="text1"/>
          <w:sz w:val="22"/>
          <w:szCs w:val="22"/>
          <w:lang w:val="en-US"/>
        </w:rPr>
        <w:t xml:space="preserve">. The prevalence can be quite variable according to geographic region. For example, in the United States, around 11% of the population has positive serology (IgG), while in Brazil, this rate reaches 78% of the population in higher risk areas. </w:t>
      </w:r>
      <w:r w:rsidR="00523A95" w:rsidRPr="00523A95">
        <w:rPr>
          <w:rFonts w:ascii="Arial" w:hAnsi="Arial" w:cs="Arial"/>
          <w:color w:val="000000" w:themeColor="text1"/>
          <w:sz w:val="22"/>
          <w:szCs w:val="22"/>
          <w:vertAlign w:val="superscript"/>
          <w:lang w:val="en-US"/>
        </w:rPr>
        <w:t>1,2</w:t>
      </w:r>
    </w:p>
    <w:p w14:paraId="26B2D11F" w14:textId="02A8E69E" w:rsidR="007C187B" w:rsidRPr="003C6316" w:rsidRDefault="007C187B" w:rsidP="003C6316">
      <w:pPr>
        <w:spacing w:line="360" w:lineRule="auto"/>
        <w:ind w:firstLine="708"/>
        <w:jc w:val="both"/>
        <w:rPr>
          <w:rFonts w:ascii="Arial" w:hAnsi="Arial" w:cs="Arial"/>
          <w:color w:val="000000" w:themeColor="text1"/>
          <w:sz w:val="22"/>
          <w:szCs w:val="22"/>
          <w:lang w:val="en-US"/>
        </w:rPr>
      </w:pPr>
      <w:r w:rsidRPr="003C6316">
        <w:rPr>
          <w:rFonts w:ascii="Arial" w:hAnsi="Arial" w:cs="Arial"/>
          <w:color w:val="000000" w:themeColor="text1"/>
          <w:sz w:val="22"/>
          <w:szCs w:val="22"/>
          <w:lang w:val="en-US"/>
        </w:rPr>
        <w:t xml:space="preserve">Infection in immunocompetent patients is usually asymptomatic (in up to 90% of cases) but may cause nonspecific constitutional symptoms such as mononucleosis-like illnesses, with spontaneous resolution after a few weeks. There have been some case reports with severe symptoms in immunocompetent patients, such as posterior uveitis, myocarditis, acute respiratory distress syndrome, pericarditis, hepatitis, and encephalitis, but these manifestations are extremely rare. </w:t>
      </w:r>
      <w:r w:rsidR="00523A95" w:rsidRPr="00523A95">
        <w:rPr>
          <w:rFonts w:ascii="Arial" w:hAnsi="Arial" w:cs="Arial"/>
          <w:color w:val="000000" w:themeColor="text1"/>
          <w:sz w:val="22"/>
          <w:szCs w:val="22"/>
          <w:vertAlign w:val="superscript"/>
          <w:lang w:val="en-US"/>
        </w:rPr>
        <w:t>1</w:t>
      </w:r>
    </w:p>
    <w:p w14:paraId="0BFC1B37" w14:textId="66346B55" w:rsidR="003C6316" w:rsidRDefault="007C187B" w:rsidP="003C6316">
      <w:pPr>
        <w:spacing w:line="360" w:lineRule="auto"/>
        <w:ind w:firstLine="708"/>
        <w:jc w:val="both"/>
        <w:rPr>
          <w:rFonts w:ascii="Arial" w:hAnsi="Arial" w:cs="Arial"/>
          <w:color w:val="000000" w:themeColor="text1"/>
          <w:sz w:val="22"/>
          <w:szCs w:val="22"/>
          <w:lang w:val="en-US"/>
        </w:rPr>
      </w:pPr>
      <w:r w:rsidRPr="003C6316">
        <w:rPr>
          <w:rFonts w:ascii="Arial" w:hAnsi="Arial" w:cs="Arial"/>
          <w:color w:val="000000" w:themeColor="text1"/>
          <w:sz w:val="22"/>
          <w:szCs w:val="22"/>
          <w:lang w:val="en-US"/>
        </w:rPr>
        <w:t>In these patients, the diagnosis is usually made from the suggestive clinical manifestations and serum serologie</w:t>
      </w:r>
      <w:r w:rsidR="003C6316">
        <w:rPr>
          <w:rFonts w:ascii="Arial" w:hAnsi="Arial" w:cs="Arial"/>
          <w:color w:val="000000" w:themeColor="text1"/>
          <w:sz w:val="22"/>
          <w:szCs w:val="22"/>
          <w:lang w:val="en-US"/>
        </w:rPr>
        <w:t>s.</w:t>
      </w:r>
      <w:r w:rsidR="003C6316" w:rsidRPr="003C6316">
        <w:rPr>
          <w:rFonts w:ascii="Arial" w:hAnsi="Arial" w:cs="Arial"/>
          <w:color w:val="000000" w:themeColor="text1"/>
          <w:sz w:val="22"/>
          <w:szCs w:val="22"/>
          <w:lang w:val="en-US"/>
        </w:rPr>
        <w:t xml:space="preserve"> </w:t>
      </w:r>
      <w:r w:rsidR="003C6316" w:rsidRPr="003C6316">
        <w:rPr>
          <w:rFonts w:ascii="Arial" w:hAnsi="Arial" w:cs="Arial"/>
          <w:sz w:val="22"/>
          <w:szCs w:val="22"/>
          <w:lang w:val="en-US"/>
        </w:rPr>
        <w:t xml:space="preserve">In atypical cases or in the suspicion of reactivation, </w:t>
      </w:r>
      <w:r w:rsidR="003C6316" w:rsidRPr="003C6316">
        <w:rPr>
          <w:rFonts w:ascii="Arial" w:hAnsi="Arial" w:cs="Arial"/>
          <w:color w:val="000000" w:themeColor="text1"/>
          <w:sz w:val="22"/>
          <w:szCs w:val="22"/>
          <w:lang w:val="en-US"/>
        </w:rPr>
        <w:t>molecular biology techniques such as polymerase chain reaction (PCR) can be used with high specificity (E &gt; 96-100%)</w:t>
      </w:r>
      <w:r w:rsidR="00523A95">
        <w:rPr>
          <w:rFonts w:ascii="Arial" w:hAnsi="Arial" w:cs="Arial"/>
          <w:color w:val="000000" w:themeColor="text1"/>
          <w:sz w:val="22"/>
          <w:szCs w:val="22"/>
          <w:lang w:val="en-US"/>
        </w:rPr>
        <w:t>.</w:t>
      </w:r>
      <w:r w:rsidR="00523A95" w:rsidRPr="00523A95">
        <w:rPr>
          <w:rFonts w:ascii="Arial" w:hAnsi="Arial" w:cs="Arial"/>
          <w:color w:val="000000" w:themeColor="text1"/>
          <w:sz w:val="22"/>
          <w:szCs w:val="22"/>
          <w:vertAlign w:val="superscript"/>
          <w:lang w:val="en-US"/>
        </w:rPr>
        <w:t xml:space="preserve"> 3</w:t>
      </w:r>
    </w:p>
    <w:p w14:paraId="59B4CFC5" w14:textId="0818376C" w:rsidR="007C187B" w:rsidRPr="003C6316" w:rsidRDefault="007C187B" w:rsidP="003C6316">
      <w:pPr>
        <w:spacing w:line="360" w:lineRule="auto"/>
        <w:ind w:firstLine="708"/>
        <w:jc w:val="both"/>
        <w:rPr>
          <w:rFonts w:ascii="Arial" w:hAnsi="Arial" w:cs="Arial"/>
          <w:color w:val="000000" w:themeColor="text1"/>
          <w:sz w:val="22"/>
          <w:szCs w:val="22"/>
          <w:lang w:val="en-US"/>
        </w:rPr>
      </w:pPr>
      <w:r w:rsidRPr="003C6316">
        <w:rPr>
          <w:rFonts w:ascii="Arial" w:hAnsi="Arial" w:cs="Arial"/>
          <w:color w:val="000000" w:themeColor="text1"/>
          <w:sz w:val="22"/>
          <w:szCs w:val="22"/>
          <w:lang w:val="en-US"/>
        </w:rPr>
        <w:t xml:space="preserve">However, in clinical practice, it is common for treatment to be instituted empirically due to the low sensitivity (S: 50-98%) of PCR from pre-test probability of </w:t>
      </w:r>
      <w:proofErr w:type="spellStart"/>
      <w:r w:rsidR="003C6316">
        <w:rPr>
          <w:rFonts w:ascii="Arial" w:hAnsi="Arial" w:cs="Arial"/>
          <w:color w:val="000000" w:themeColor="text1"/>
          <w:sz w:val="22"/>
          <w:szCs w:val="22"/>
          <w:lang w:val="en-US"/>
        </w:rPr>
        <w:t>neuro</w:t>
      </w:r>
      <w:r w:rsidRPr="003C6316">
        <w:rPr>
          <w:rFonts w:ascii="Arial" w:hAnsi="Arial" w:cs="Arial"/>
          <w:color w:val="000000" w:themeColor="text1"/>
          <w:sz w:val="22"/>
          <w:szCs w:val="22"/>
          <w:lang w:val="en-US"/>
        </w:rPr>
        <w:t>toxoplasmosis</w:t>
      </w:r>
      <w:proofErr w:type="spellEnd"/>
      <w:r w:rsidRPr="003C6316">
        <w:rPr>
          <w:rFonts w:ascii="Arial" w:hAnsi="Arial" w:cs="Arial"/>
          <w:color w:val="000000" w:themeColor="text1"/>
          <w:sz w:val="22"/>
          <w:szCs w:val="22"/>
          <w:lang w:val="en-US"/>
        </w:rPr>
        <w:t xml:space="preserve"> diagnosis. A compatible clinical manifestations and suggestive neuroimaging with multiple lesions with ring contrast enhancement predominantly affecting the basal ganglia region may be determinant in deciding the initiation of the therapeutic scheme. Stereotactic brain biopsies should be considered in atypical cases or with ineffective response after two weeks.</w:t>
      </w:r>
      <w:r w:rsidR="00523A95">
        <w:rPr>
          <w:rFonts w:ascii="Arial" w:hAnsi="Arial" w:cs="Arial"/>
          <w:color w:val="000000" w:themeColor="text1"/>
          <w:sz w:val="22"/>
          <w:szCs w:val="22"/>
          <w:lang w:val="en-US"/>
        </w:rPr>
        <w:t xml:space="preserve"> </w:t>
      </w:r>
      <w:r w:rsidR="00523A95" w:rsidRPr="00523A95">
        <w:rPr>
          <w:rFonts w:ascii="Arial" w:hAnsi="Arial" w:cs="Arial"/>
          <w:color w:val="000000" w:themeColor="text1"/>
          <w:sz w:val="22"/>
          <w:szCs w:val="22"/>
          <w:vertAlign w:val="superscript"/>
          <w:lang w:val="en-US"/>
        </w:rPr>
        <w:t>4</w:t>
      </w:r>
    </w:p>
    <w:p w14:paraId="0893A092" w14:textId="7884870C" w:rsidR="007C187B" w:rsidRPr="003C6316" w:rsidRDefault="007C187B" w:rsidP="003C6316">
      <w:pPr>
        <w:spacing w:line="360" w:lineRule="auto"/>
        <w:ind w:firstLine="708"/>
        <w:jc w:val="both"/>
        <w:rPr>
          <w:rFonts w:ascii="Arial" w:hAnsi="Arial" w:cs="Arial"/>
          <w:color w:val="000000" w:themeColor="text1"/>
          <w:sz w:val="22"/>
          <w:szCs w:val="22"/>
          <w:lang w:val="en-US"/>
        </w:rPr>
      </w:pPr>
      <w:r w:rsidRPr="003C6316">
        <w:rPr>
          <w:rFonts w:ascii="Arial" w:hAnsi="Arial" w:cs="Arial"/>
          <w:color w:val="000000" w:themeColor="text1"/>
          <w:sz w:val="22"/>
          <w:szCs w:val="22"/>
          <w:lang w:val="en-US"/>
        </w:rPr>
        <w:t xml:space="preserve">Treatment is divided into acute (6 weeks) and maintenance phases. The preferred initial regimen is sulfadiazine 1000mg (&lt; 60kg) to 1500mg (&gt; 60kg) 6/6h; pyrimethamine 200mg on day 1, followed by 50mg (&lt; 60kg) to 75mg (&gt; 60kg) 24/24h and </w:t>
      </w:r>
      <w:proofErr w:type="spellStart"/>
      <w:r w:rsidRPr="003C6316">
        <w:rPr>
          <w:rFonts w:ascii="Arial" w:hAnsi="Arial" w:cs="Arial"/>
          <w:color w:val="000000" w:themeColor="text1"/>
          <w:sz w:val="22"/>
          <w:szCs w:val="22"/>
          <w:lang w:val="en-US"/>
        </w:rPr>
        <w:t>folinic</w:t>
      </w:r>
      <w:proofErr w:type="spellEnd"/>
      <w:r w:rsidRPr="003C6316">
        <w:rPr>
          <w:rFonts w:ascii="Arial" w:hAnsi="Arial" w:cs="Arial"/>
          <w:color w:val="000000" w:themeColor="text1"/>
          <w:sz w:val="22"/>
          <w:szCs w:val="22"/>
          <w:lang w:val="en-US"/>
        </w:rPr>
        <w:t xml:space="preserve"> acid 15mg/day. Alternative regimens can be employed, such as </w:t>
      </w:r>
      <w:r w:rsidRPr="003C6316">
        <w:rPr>
          <w:rFonts w:ascii="Arial" w:hAnsi="Arial" w:cs="Arial"/>
          <w:color w:val="000000" w:themeColor="text1"/>
          <w:sz w:val="22"/>
          <w:szCs w:val="22"/>
          <w:lang w:val="en-US"/>
        </w:rPr>
        <w:lastRenderedPageBreak/>
        <w:t>sulfamethoxazole-trimethoprim (SMZ 25mg/kg or TMP 5mg/kg 12/12h) or clindamycin 600mg 6/6h in place of sulfadiazine in sulfa allergic patients. Maintenance treatment consists of the same medications at a reduced dose. In HIV-positive patients, treatment maintenance is recommended until the patient is asymptomatic on ART, with undetectable viral load and CD4 cells count &gt; 200 cells/</w:t>
      </w:r>
      <w:proofErr w:type="spellStart"/>
      <w:r w:rsidRPr="003C6316">
        <w:rPr>
          <w:rFonts w:ascii="Arial" w:hAnsi="Arial" w:cs="Arial"/>
          <w:color w:val="000000" w:themeColor="text1"/>
          <w:sz w:val="22"/>
          <w:szCs w:val="22"/>
          <w:lang w:val="en-US"/>
        </w:rPr>
        <w:t>uL</w:t>
      </w:r>
      <w:proofErr w:type="spellEnd"/>
      <w:r w:rsidRPr="003C6316">
        <w:rPr>
          <w:rFonts w:ascii="Arial" w:hAnsi="Arial" w:cs="Arial"/>
          <w:color w:val="000000" w:themeColor="text1"/>
          <w:sz w:val="22"/>
          <w:szCs w:val="22"/>
          <w:lang w:val="en-US"/>
        </w:rPr>
        <w:t xml:space="preserve"> for six months. There are no well-defined recommendations regarding the duration of treatment in immunocompetent patients.</w:t>
      </w:r>
      <w:r w:rsidR="00523A95">
        <w:rPr>
          <w:rFonts w:ascii="Arial" w:hAnsi="Arial" w:cs="Arial"/>
          <w:color w:val="000000" w:themeColor="text1"/>
          <w:sz w:val="22"/>
          <w:szCs w:val="22"/>
          <w:lang w:val="en-US"/>
        </w:rPr>
        <w:t xml:space="preserve"> </w:t>
      </w:r>
      <w:r w:rsidR="00523A95" w:rsidRPr="00523A95">
        <w:rPr>
          <w:rFonts w:ascii="Arial" w:hAnsi="Arial" w:cs="Arial"/>
          <w:color w:val="000000" w:themeColor="text1"/>
          <w:sz w:val="22"/>
          <w:szCs w:val="22"/>
          <w:vertAlign w:val="superscript"/>
          <w:lang w:val="en-US"/>
        </w:rPr>
        <w:t>4</w:t>
      </w:r>
    </w:p>
    <w:p w14:paraId="2283B903" w14:textId="21A84B6D" w:rsidR="007C187B" w:rsidRPr="00523A95" w:rsidRDefault="007C187B" w:rsidP="003C6316">
      <w:pPr>
        <w:spacing w:line="360" w:lineRule="auto"/>
        <w:ind w:firstLine="708"/>
        <w:jc w:val="both"/>
        <w:rPr>
          <w:rFonts w:ascii="Arial" w:hAnsi="Arial" w:cs="Arial"/>
          <w:color w:val="000000" w:themeColor="text1"/>
          <w:sz w:val="22"/>
          <w:szCs w:val="22"/>
          <w:vertAlign w:val="superscript"/>
          <w:lang w:val="en-US"/>
        </w:rPr>
      </w:pPr>
      <w:r w:rsidRPr="003C6316">
        <w:rPr>
          <w:rFonts w:ascii="Arial" w:hAnsi="Arial" w:cs="Arial"/>
          <w:color w:val="000000" w:themeColor="text1"/>
          <w:sz w:val="22"/>
          <w:szCs w:val="22"/>
          <w:lang w:val="en-US"/>
        </w:rPr>
        <w:t xml:space="preserve">In the case described the diagnosis of </w:t>
      </w:r>
      <w:proofErr w:type="spellStart"/>
      <w:r w:rsidRPr="003C6316">
        <w:rPr>
          <w:rFonts w:ascii="Arial" w:hAnsi="Arial" w:cs="Arial"/>
          <w:color w:val="000000" w:themeColor="text1"/>
          <w:sz w:val="22"/>
          <w:szCs w:val="22"/>
          <w:lang w:val="en-US"/>
        </w:rPr>
        <w:t>neurotoxoplasmosis</w:t>
      </w:r>
      <w:proofErr w:type="spellEnd"/>
      <w:r w:rsidRPr="003C6316">
        <w:rPr>
          <w:rFonts w:ascii="Arial" w:hAnsi="Arial" w:cs="Arial"/>
          <w:color w:val="000000" w:themeColor="text1"/>
          <w:sz w:val="22"/>
          <w:szCs w:val="22"/>
          <w:lang w:val="en-US"/>
        </w:rPr>
        <w:t xml:space="preserve"> was determined after the second PCR collected in the CSF and evolution with remarkable clinical and radiological improvement after the introduction of sulfamethoxazole-trimethoprim (first-line regimen unavailable). Despite the non-reactive serology and the undetectable first CSF PCR for toxoplasmosis, a positive PCR result is considered to confirm the presence of active infection due to its high specificity (E &gt; 96-100%). </w:t>
      </w:r>
      <w:r w:rsidR="00523A95">
        <w:rPr>
          <w:rFonts w:ascii="Arial" w:hAnsi="Arial" w:cs="Arial"/>
          <w:color w:val="000000" w:themeColor="text1"/>
          <w:sz w:val="22"/>
          <w:szCs w:val="22"/>
          <w:vertAlign w:val="superscript"/>
          <w:lang w:val="en-US"/>
        </w:rPr>
        <w:t>3</w:t>
      </w:r>
    </w:p>
    <w:p w14:paraId="325D75DE" w14:textId="7B2C0C0D" w:rsidR="007C187B" w:rsidRPr="003C6316" w:rsidRDefault="007C187B" w:rsidP="003C6316">
      <w:pPr>
        <w:spacing w:line="360" w:lineRule="auto"/>
        <w:ind w:firstLine="708"/>
        <w:jc w:val="both"/>
        <w:rPr>
          <w:rFonts w:ascii="Arial" w:hAnsi="Arial" w:cs="Arial"/>
          <w:color w:val="000000" w:themeColor="text1"/>
          <w:sz w:val="22"/>
          <w:szCs w:val="22"/>
          <w:lang w:val="en-US"/>
        </w:rPr>
      </w:pPr>
      <w:r w:rsidRPr="003C6316">
        <w:rPr>
          <w:rFonts w:ascii="Arial" w:hAnsi="Arial" w:cs="Arial"/>
          <w:color w:val="000000" w:themeColor="text1"/>
          <w:sz w:val="22"/>
          <w:szCs w:val="22"/>
          <w:lang w:val="en-US"/>
        </w:rPr>
        <w:t xml:space="preserve">A neuroimaging pattern suggestive of classic </w:t>
      </w:r>
      <w:proofErr w:type="spellStart"/>
      <w:r w:rsidRPr="003C6316">
        <w:rPr>
          <w:rFonts w:ascii="Arial" w:hAnsi="Arial" w:cs="Arial"/>
          <w:color w:val="000000" w:themeColor="text1"/>
          <w:sz w:val="22"/>
          <w:szCs w:val="22"/>
          <w:lang w:val="en-US"/>
        </w:rPr>
        <w:t>neurotoxoplasmosis</w:t>
      </w:r>
      <w:proofErr w:type="spellEnd"/>
      <w:r w:rsidRPr="003C6316">
        <w:rPr>
          <w:rFonts w:ascii="Arial" w:hAnsi="Arial" w:cs="Arial"/>
          <w:color w:val="000000" w:themeColor="text1"/>
          <w:sz w:val="22"/>
          <w:szCs w:val="22"/>
          <w:lang w:val="en-US"/>
        </w:rPr>
        <w:t xml:space="preserve"> involvement like that found in immunocompromised patients is observed in several reports. In the present case the lesions were in the usual topography (basal ganglia) but with atypical characteristics (no nodular pattern or ring enhancement), which made the diagnosis even more difficult.</w:t>
      </w:r>
      <w:r w:rsidR="00523A95" w:rsidRPr="00523A95">
        <w:rPr>
          <w:rFonts w:ascii="Arial" w:hAnsi="Arial" w:cs="Arial"/>
          <w:color w:val="000000" w:themeColor="text1"/>
          <w:sz w:val="22"/>
          <w:szCs w:val="22"/>
          <w:vertAlign w:val="superscript"/>
          <w:lang w:val="en-US"/>
        </w:rPr>
        <w:t xml:space="preserve"> </w:t>
      </w:r>
      <w:r w:rsidR="00523A95">
        <w:rPr>
          <w:rFonts w:ascii="Arial" w:hAnsi="Arial" w:cs="Arial"/>
          <w:color w:val="000000" w:themeColor="text1"/>
          <w:sz w:val="22"/>
          <w:szCs w:val="22"/>
          <w:vertAlign w:val="superscript"/>
          <w:lang w:val="en-US"/>
        </w:rPr>
        <w:t>1</w:t>
      </w:r>
      <w:r w:rsidR="00523A95">
        <w:rPr>
          <w:rFonts w:ascii="Arial" w:hAnsi="Arial" w:cs="Arial"/>
          <w:color w:val="000000" w:themeColor="text1"/>
          <w:sz w:val="22"/>
          <w:szCs w:val="22"/>
          <w:vertAlign w:val="superscript"/>
          <w:lang w:val="en-US"/>
        </w:rPr>
        <w:t>,5,6,7,8</w:t>
      </w:r>
    </w:p>
    <w:p w14:paraId="467F8DF4" w14:textId="77777777" w:rsidR="007C187B" w:rsidRPr="003C6316" w:rsidRDefault="007C187B" w:rsidP="003C6316">
      <w:pPr>
        <w:spacing w:line="360" w:lineRule="auto"/>
        <w:ind w:firstLine="708"/>
        <w:jc w:val="both"/>
        <w:rPr>
          <w:rFonts w:ascii="Arial" w:hAnsi="Arial" w:cs="Arial"/>
          <w:color w:val="000000" w:themeColor="text1"/>
          <w:sz w:val="22"/>
          <w:szCs w:val="22"/>
          <w:lang w:val="en-US"/>
        </w:rPr>
      </w:pPr>
      <w:r w:rsidRPr="003C6316">
        <w:rPr>
          <w:rFonts w:ascii="Arial" w:hAnsi="Arial" w:cs="Arial"/>
          <w:color w:val="000000" w:themeColor="text1"/>
          <w:sz w:val="22"/>
          <w:szCs w:val="22"/>
          <w:lang w:val="en-US"/>
        </w:rPr>
        <w:t xml:space="preserve">We conclude that one should be very cautious when excluding the diagnosis of </w:t>
      </w:r>
      <w:proofErr w:type="spellStart"/>
      <w:r w:rsidRPr="003C6316">
        <w:rPr>
          <w:rFonts w:ascii="Arial" w:hAnsi="Arial" w:cs="Arial"/>
          <w:color w:val="000000" w:themeColor="text1"/>
          <w:sz w:val="22"/>
          <w:szCs w:val="22"/>
          <w:lang w:val="en-US"/>
        </w:rPr>
        <w:t>neurotoxoplasmosis</w:t>
      </w:r>
      <w:proofErr w:type="spellEnd"/>
      <w:r w:rsidRPr="003C6316">
        <w:rPr>
          <w:rFonts w:ascii="Arial" w:hAnsi="Arial" w:cs="Arial"/>
          <w:color w:val="000000" w:themeColor="text1"/>
          <w:sz w:val="22"/>
          <w:szCs w:val="22"/>
          <w:lang w:val="en-US"/>
        </w:rPr>
        <w:t>, even in immunocompetent individuals with negative complementary exams (serology, PCR). We also emphasize that the imaging pattern may be atypical and that there should be great suspicion for the diagnosis. In undefined cases, a brain biopsy should be early considered for etiological definition and appropriate clinical management.</w:t>
      </w:r>
    </w:p>
    <w:p w14:paraId="2675AE59" w14:textId="77777777" w:rsidR="007C187B" w:rsidRPr="003C6316" w:rsidRDefault="007C187B" w:rsidP="003C6316">
      <w:pPr>
        <w:spacing w:line="360" w:lineRule="auto"/>
        <w:rPr>
          <w:rFonts w:ascii="Arial" w:hAnsi="Arial" w:cs="Arial"/>
          <w:sz w:val="22"/>
          <w:szCs w:val="22"/>
          <w:lang w:val="en-US"/>
        </w:rPr>
      </w:pPr>
    </w:p>
    <w:p w14:paraId="0BAE449B" w14:textId="77777777" w:rsidR="007C187B" w:rsidRPr="003C6316" w:rsidRDefault="007C187B" w:rsidP="003C6316">
      <w:pPr>
        <w:spacing w:line="360" w:lineRule="auto"/>
        <w:rPr>
          <w:rFonts w:ascii="Arial" w:hAnsi="Arial" w:cs="Arial"/>
          <w:b/>
          <w:bCs/>
          <w:sz w:val="22"/>
          <w:szCs w:val="22"/>
          <w:lang w:val="en-US"/>
        </w:rPr>
      </w:pPr>
      <w:r w:rsidRPr="003C6316">
        <w:rPr>
          <w:rFonts w:ascii="Arial" w:hAnsi="Arial" w:cs="Arial"/>
          <w:b/>
          <w:bCs/>
          <w:sz w:val="22"/>
          <w:szCs w:val="22"/>
          <w:lang w:val="en-US"/>
        </w:rPr>
        <w:t>References</w:t>
      </w:r>
    </w:p>
    <w:p w14:paraId="6CF4A7B3" w14:textId="77777777" w:rsidR="00523A95" w:rsidRPr="00523A95" w:rsidRDefault="00523A95" w:rsidP="00523A95">
      <w:pPr>
        <w:numPr>
          <w:ilvl w:val="0"/>
          <w:numId w:val="1"/>
        </w:numPr>
        <w:spacing w:line="360" w:lineRule="auto"/>
        <w:jc w:val="both"/>
        <w:rPr>
          <w:rFonts w:ascii="Arial" w:hAnsi="Arial" w:cs="Arial"/>
          <w:sz w:val="22"/>
          <w:szCs w:val="22"/>
        </w:rPr>
      </w:pPr>
      <w:r w:rsidRPr="00523A95">
        <w:rPr>
          <w:rFonts w:ascii="Arial" w:hAnsi="Arial" w:cs="Arial"/>
          <w:sz w:val="22"/>
          <w:szCs w:val="22"/>
          <w:lang w:val="en-US"/>
        </w:rPr>
        <w:t>PUSTORINO, Giuseppe et al. Cerebral toxoplasmosis diagnosed by brain tissue PCR analysis in an immunocompetent patient. </w:t>
      </w:r>
      <w:proofErr w:type="spellStart"/>
      <w:r w:rsidRPr="00523A95">
        <w:rPr>
          <w:rFonts w:ascii="Arial" w:hAnsi="Arial" w:cs="Arial"/>
          <w:sz w:val="22"/>
          <w:szCs w:val="22"/>
        </w:rPr>
        <w:t>Neurology</w:t>
      </w:r>
      <w:proofErr w:type="spellEnd"/>
      <w:r w:rsidRPr="00523A95">
        <w:rPr>
          <w:rFonts w:ascii="Arial" w:hAnsi="Arial" w:cs="Arial"/>
          <w:sz w:val="22"/>
          <w:szCs w:val="22"/>
        </w:rPr>
        <w:t xml:space="preserve">: </w:t>
      </w:r>
      <w:proofErr w:type="spellStart"/>
      <w:r w:rsidRPr="00523A95">
        <w:rPr>
          <w:rFonts w:ascii="Arial" w:hAnsi="Arial" w:cs="Arial"/>
          <w:sz w:val="22"/>
          <w:szCs w:val="22"/>
        </w:rPr>
        <w:t>Clinical</w:t>
      </w:r>
      <w:proofErr w:type="spellEnd"/>
      <w:r w:rsidRPr="00523A95">
        <w:rPr>
          <w:rFonts w:ascii="Arial" w:hAnsi="Arial" w:cs="Arial"/>
          <w:sz w:val="22"/>
          <w:szCs w:val="22"/>
        </w:rPr>
        <w:t xml:space="preserve"> </w:t>
      </w:r>
      <w:proofErr w:type="spellStart"/>
      <w:r w:rsidRPr="00523A95">
        <w:rPr>
          <w:rFonts w:ascii="Arial" w:hAnsi="Arial" w:cs="Arial"/>
          <w:sz w:val="22"/>
          <w:szCs w:val="22"/>
        </w:rPr>
        <w:t>Practice</w:t>
      </w:r>
      <w:proofErr w:type="spellEnd"/>
      <w:r w:rsidRPr="00523A95">
        <w:rPr>
          <w:rFonts w:ascii="Arial" w:hAnsi="Arial" w:cs="Arial"/>
          <w:sz w:val="22"/>
          <w:szCs w:val="22"/>
        </w:rPr>
        <w:t>, v. 7, n. 5, p. 436-438, 2017.</w:t>
      </w:r>
    </w:p>
    <w:p w14:paraId="00D26642" w14:textId="77777777" w:rsidR="00523A95" w:rsidRPr="00523A95" w:rsidRDefault="00523A95" w:rsidP="00523A95">
      <w:pPr>
        <w:numPr>
          <w:ilvl w:val="0"/>
          <w:numId w:val="1"/>
        </w:numPr>
        <w:autoSpaceDE w:val="0"/>
        <w:autoSpaceDN w:val="0"/>
        <w:adjustRightInd w:val="0"/>
        <w:spacing w:line="360" w:lineRule="auto"/>
        <w:jc w:val="both"/>
        <w:rPr>
          <w:rFonts w:ascii="Arial" w:hAnsi="Arial" w:cs="Arial"/>
          <w:sz w:val="22"/>
          <w:szCs w:val="22"/>
        </w:rPr>
      </w:pPr>
      <w:r w:rsidRPr="00523A95">
        <w:rPr>
          <w:rFonts w:ascii="Arial" w:hAnsi="Arial" w:cs="Arial"/>
          <w:sz w:val="22"/>
          <w:szCs w:val="22"/>
          <w:lang w:val="en-US"/>
        </w:rPr>
        <w:t xml:space="preserve">PAPPAS, Georgios; ROUSSOS, Nikos; FALAGAS, Matthew E. Toxoplasmosis snapshots: global status of Toxoplasma gondii seroprevalence and implications for pregnancy and congenital toxoplasmosis. </w:t>
      </w:r>
      <w:proofErr w:type="spellStart"/>
      <w:r w:rsidRPr="00523A95">
        <w:rPr>
          <w:rFonts w:ascii="Arial" w:hAnsi="Arial" w:cs="Arial"/>
          <w:sz w:val="22"/>
          <w:szCs w:val="22"/>
        </w:rPr>
        <w:t>International</w:t>
      </w:r>
      <w:proofErr w:type="spellEnd"/>
      <w:r w:rsidRPr="00523A95">
        <w:rPr>
          <w:rFonts w:ascii="Arial" w:hAnsi="Arial" w:cs="Arial"/>
          <w:sz w:val="22"/>
          <w:szCs w:val="22"/>
        </w:rPr>
        <w:t xml:space="preserve"> </w:t>
      </w:r>
      <w:proofErr w:type="spellStart"/>
      <w:r w:rsidRPr="00523A95">
        <w:rPr>
          <w:rFonts w:ascii="Arial" w:hAnsi="Arial" w:cs="Arial"/>
          <w:sz w:val="22"/>
          <w:szCs w:val="22"/>
        </w:rPr>
        <w:t>journal</w:t>
      </w:r>
      <w:proofErr w:type="spellEnd"/>
      <w:r w:rsidRPr="00523A95">
        <w:rPr>
          <w:rFonts w:ascii="Arial" w:hAnsi="Arial" w:cs="Arial"/>
          <w:sz w:val="22"/>
          <w:szCs w:val="22"/>
        </w:rPr>
        <w:t xml:space="preserve"> for </w:t>
      </w:r>
      <w:proofErr w:type="spellStart"/>
      <w:r w:rsidRPr="00523A95">
        <w:rPr>
          <w:rFonts w:ascii="Arial" w:hAnsi="Arial" w:cs="Arial"/>
          <w:sz w:val="22"/>
          <w:szCs w:val="22"/>
        </w:rPr>
        <w:t>parasitology</w:t>
      </w:r>
      <w:proofErr w:type="spellEnd"/>
      <w:r w:rsidRPr="00523A95">
        <w:rPr>
          <w:rFonts w:ascii="Arial" w:hAnsi="Arial" w:cs="Arial"/>
          <w:sz w:val="22"/>
          <w:szCs w:val="22"/>
        </w:rPr>
        <w:t>, v. 39, n. 12, p. 1385-1394, 2009.</w:t>
      </w:r>
    </w:p>
    <w:p w14:paraId="22A99891" w14:textId="77777777" w:rsidR="00523A95" w:rsidRPr="00523A95" w:rsidRDefault="00523A95" w:rsidP="00523A95">
      <w:pPr>
        <w:numPr>
          <w:ilvl w:val="0"/>
          <w:numId w:val="1"/>
        </w:numPr>
        <w:spacing w:line="360" w:lineRule="auto"/>
        <w:jc w:val="both"/>
        <w:rPr>
          <w:rFonts w:ascii="Arial" w:hAnsi="Arial" w:cs="Arial"/>
          <w:sz w:val="22"/>
          <w:szCs w:val="22"/>
          <w:lang w:val="en-US"/>
        </w:rPr>
      </w:pPr>
      <w:r w:rsidRPr="00523A95">
        <w:rPr>
          <w:rFonts w:ascii="Arial" w:hAnsi="Arial" w:cs="Arial"/>
          <w:sz w:val="22"/>
          <w:szCs w:val="22"/>
          <w:lang w:val="en-US"/>
        </w:rPr>
        <w:t>ROBERT, Marie Gladys et al. Molecular diagnosis of toxoplasmosis: recent advances and a look to the future. Expert Review of Anti-infective Therapy, v. 19, n. 12, p. 1529-1542, 2021.</w:t>
      </w:r>
    </w:p>
    <w:p w14:paraId="5F4EBB0E" w14:textId="77777777" w:rsidR="00523A95" w:rsidRPr="00523A95" w:rsidRDefault="00523A95" w:rsidP="00523A95">
      <w:pPr>
        <w:numPr>
          <w:ilvl w:val="0"/>
          <w:numId w:val="1"/>
        </w:numPr>
        <w:spacing w:line="360" w:lineRule="auto"/>
        <w:jc w:val="both"/>
        <w:rPr>
          <w:rFonts w:ascii="Arial" w:hAnsi="Arial" w:cs="Arial"/>
          <w:sz w:val="22"/>
          <w:szCs w:val="22"/>
          <w:lang w:val="en-US"/>
        </w:rPr>
      </w:pPr>
      <w:r w:rsidRPr="00523A95">
        <w:rPr>
          <w:rFonts w:ascii="Arial" w:hAnsi="Arial" w:cs="Arial"/>
          <w:sz w:val="22"/>
          <w:szCs w:val="22"/>
          <w:lang w:val="en-US"/>
        </w:rPr>
        <w:lastRenderedPageBreak/>
        <w:t>MOFENSON, Lynne M. et al. Guidelines for the prevention and treatment of opportunistic infections among HIV-exposed and HIV-infected children: recommendations from CDC, the National Institutes of Health, the HIV Medicine Association of the Infectious Diseases Society of America, the Pediatric Infectious Diseases Society, and the American Academy of Pediatrics. MMWR. Recommendations and reports: Morbidity and mortality weekly report. Recommendations and reports/Centers for Disease Control, v. 58, n. RR-11, p. 1, 2009.</w:t>
      </w:r>
    </w:p>
    <w:p w14:paraId="6A6AFF42" w14:textId="77777777" w:rsidR="00523A95" w:rsidRPr="00523A95" w:rsidRDefault="00523A95" w:rsidP="00523A95">
      <w:pPr>
        <w:numPr>
          <w:ilvl w:val="0"/>
          <w:numId w:val="1"/>
        </w:numPr>
        <w:spacing w:line="360" w:lineRule="auto"/>
        <w:jc w:val="both"/>
        <w:rPr>
          <w:rFonts w:ascii="Arial" w:hAnsi="Arial" w:cs="Arial"/>
          <w:sz w:val="22"/>
          <w:szCs w:val="22"/>
          <w:lang w:val="en-US"/>
        </w:rPr>
      </w:pPr>
      <w:r w:rsidRPr="00523A95">
        <w:rPr>
          <w:rFonts w:ascii="Arial" w:hAnsi="Arial" w:cs="Arial"/>
          <w:sz w:val="22"/>
          <w:szCs w:val="22"/>
          <w:lang w:val="en-US"/>
        </w:rPr>
        <w:t xml:space="preserve">AKTURK, </w:t>
      </w:r>
      <w:proofErr w:type="spellStart"/>
      <w:r w:rsidRPr="00523A95">
        <w:rPr>
          <w:rFonts w:ascii="Arial" w:hAnsi="Arial" w:cs="Arial"/>
          <w:sz w:val="22"/>
          <w:szCs w:val="22"/>
          <w:lang w:val="en-US"/>
        </w:rPr>
        <w:t>Halis</w:t>
      </w:r>
      <w:proofErr w:type="spellEnd"/>
      <w:r w:rsidRPr="00523A95">
        <w:rPr>
          <w:rFonts w:ascii="Arial" w:hAnsi="Arial" w:cs="Arial"/>
          <w:sz w:val="22"/>
          <w:szCs w:val="22"/>
          <w:lang w:val="en-US"/>
        </w:rPr>
        <w:t xml:space="preserve"> </w:t>
      </w:r>
      <w:proofErr w:type="spellStart"/>
      <w:r w:rsidRPr="00523A95">
        <w:rPr>
          <w:rFonts w:ascii="Arial" w:hAnsi="Arial" w:cs="Arial"/>
          <w:sz w:val="22"/>
          <w:szCs w:val="22"/>
          <w:lang w:val="en-US"/>
        </w:rPr>
        <w:t>Kaan</w:t>
      </w:r>
      <w:proofErr w:type="spellEnd"/>
      <w:r w:rsidRPr="00523A95">
        <w:rPr>
          <w:rFonts w:ascii="Arial" w:hAnsi="Arial" w:cs="Arial"/>
          <w:sz w:val="22"/>
          <w:szCs w:val="22"/>
          <w:lang w:val="en-US"/>
        </w:rPr>
        <w:t xml:space="preserve"> et al. Toxoplasma infection in an immunocompetent host: possible risk of living with multiple cats. </w:t>
      </w:r>
      <w:proofErr w:type="spellStart"/>
      <w:r w:rsidRPr="00523A95">
        <w:rPr>
          <w:rFonts w:ascii="Arial" w:hAnsi="Arial" w:cs="Arial"/>
          <w:sz w:val="22"/>
          <w:szCs w:val="22"/>
          <w:lang w:val="en-US"/>
        </w:rPr>
        <w:t>Cureus</w:t>
      </w:r>
      <w:proofErr w:type="spellEnd"/>
      <w:r w:rsidRPr="00523A95">
        <w:rPr>
          <w:rFonts w:ascii="Arial" w:hAnsi="Arial" w:cs="Arial"/>
          <w:sz w:val="22"/>
          <w:szCs w:val="22"/>
          <w:lang w:val="en-US"/>
        </w:rPr>
        <w:t>, v. 9, n. 3, 2017.</w:t>
      </w:r>
    </w:p>
    <w:p w14:paraId="25CF702E" w14:textId="77777777" w:rsidR="00523A95" w:rsidRPr="00523A95" w:rsidRDefault="00523A95" w:rsidP="00523A95">
      <w:pPr>
        <w:numPr>
          <w:ilvl w:val="0"/>
          <w:numId w:val="1"/>
        </w:numPr>
        <w:spacing w:line="360" w:lineRule="auto"/>
        <w:jc w:val="both"/>
        <w:rPr>
          <w:rFonts w:ascii="Arial" w:hAnsi="Arial" w:cs="Arial"/>
          <w:sz w:val="22"/>
          <w:szCs w:val="22"/>
        </w:rPr>
      </w:pPr>
      <w:r w:rsidRPr="00523A95">
        <w:rPr>
          <w:rFonts w:ascii="Arial" w:hAnsi="Arial" w:cs="Arial"/>
          <w:sz w:val="22"/>
          <w:szCs w:val="22"/>
        </w:rPr>
        <w:t xml:space="preserve">LIMA, </w:t>
      </w:r>
      <w:proofErr w:type="spellStart"/>
      <w:r w:rsidRPr="00523A95">
        <w:rPr>
          <w:rFonts w:ascii="Arial" w:hAnsi="Arial" w:cs="Arial"/>
          <w:sz w:val="22"/>
          <w:szCs w:val="22"/>
        </w:rPr>
        <w:t>Karlla</w:t>
      </w:r>
      <w:proofErr w:type="spellEnd"/>
      <w:r w:rsidRPr="00523A95">
        <w:rPr>
          <w:rFonts w:ascii="Arial" w:hAnsi="Arial" w:cs="Arial"/>
          <w:sz w:val="22"/>
          <w:szCs w:val="22"/>
        </w:rPr>
        <w:t xml:space="preserve"> Danielle Ferreira et al. </w:t>
      </w:r>
      <w:r w:rsidRPr="00523A95">
        <w:rPr>
          <w:rFonts w:ascii="Arial" w:hAnsi="Arial" w:cs="Arial"/>
          <w:sz w:val="22"/>
          <w:szCs w:val="22"/>
          <w:lang w:val="en-US"/>
        </w:rPr>
        <w:t xml:space="preserve">An atypical case of </w:t>
      </w:r>
      <w:proofErr w:type="spellStart"/>
      <w:r w:rsidRPr="00523A95">
        <w:rPr>
          <w:rFonts w:ascii="Arial" w:hAnsi="Arial" w:cs="Arial"/>
          <w:sz w:val="22"/>
          <w:szCs w:val="22"/>
          <w:lang w:val="en-US"/>
        </w:rPr>
        <w:t>neurotoxoplasmosis</w:t>
      </w:r>
      <w:proofErr w:type="spellEnd"/>
      <w:r w:rsidRPr="00523A95">
        <w:rPr>
          <w:rFonts w:ascii="Arial" w:hAnsi="Arial" w:cs="Arial"/>
          <w:sz w:val="22"/>
          <w:szCs w:val="22"/>
          <w:lang w:val="en-US"/>
        </w:rPr>
        <w:t xml:space="preserve"> in immunocompetent patient. </w:t>
      </w:r>
      <w:proofErr w:type="spellStart"/>
      <w:r w:rsidRPr="00523A95">
        <w:rPr>
          <w:rFonts w:ascii="Arial" w:hAnsi="Arial" w:cs="Arial"/>
          <w:sz w:val="22"/>
          <w:szCs w:val="22"/>
        </w:rPr>
        <w:t>Radiology</w:t>
      </w:r>
      <w:proofErr w:type="spellEnd"/>
      <w:r w:rsidRPr="00523A95">
        <w:rPr>
          <w:rFonts w:ascii="Arial" w:hAnsi="Arial" w:cs="Arial"/>
          <w:sz w:val="22"/>
          <w:szCs w:val="22"/>
        </w:rPr>
        <w:t xml:space="preserve"> case </w:t>
      </w:r>
      <w:proofErr w:type="spellStart"/>
      <w:r w:rsidRPr="00523A95">
        <w:rPr>
          <w:rFonts w:ascii="Arial" w:hAnsi="Arial" w:cs="Arial"/>
          <w:sz w:val="22"/>
          <w:szCs w:val="22"/>
        </w:rPr>
        <w:t>reports</w:t>
      </w:r>
      <w:proofErr w:type="spellEnd"/>
      <w:r w:rsidRPr="00523A95">
        <w:rPr>
          <w:rFonts w:ascii="Arial" w:hAnsi="Arial" w:cs="Arial"/>
          <w:sz w:val="22"/>
          <w:szCs w:val="22"/>
        </w:rPr>
        <w:t>, v. 16, n. 7, p. 1766-1769, 2021.</w:t>
      </w:r>
    </w:p>
    <w:p w14:paraId="220F4917" w14:textId="77777777" w:rsidR="00523A95" w:rsidRPr="00523A95" w:rsidRDefault="00523A95" w:rsidP="00523A95">
      <w:pPr>
        <w:numPr>
          <w:ilvl w:val="0"/>
          <w:numId w:val="1"/>
        </w:numPr>
        <w:spacing w:line="360" w:lineRule="auto"/>
        <w:jc w:val="both"/>
        <w:rPr>
          <w:rFonts w:ascii="Arial" w:hAnsi="Arial" w:cs="Arial"/>
          <w:sz w:val="22"/>
          <w:szCs w:val="22"/>
        </w:rPr>
      </w:pPr>
      <w:r w:rsidRPr="00523A95">
        <w:rPr>
          <w:rFonts w:ascii="Arial" w:hAnsi="Arial" w:cs="Arial"/>
          <w:sz w:val="22"/>
          <w:szCs w:val="22"/>
        </w:rPr>
        <w:t xml:space="preserve">DE OLIVEIRA, Gustavo Henrique Reis et al. </w:t>
      </w:r>
      <w:proofErr w:type="spellStart"/>
      <w:r w:rsidRPr="00523A95">
        <w:rPr>
          <w:rFonts w:ascii="Arial" w:hAnsi="Arial" w:cs="Arial"/>
          <w:sz w:val="22"/>
          <w:szCs w:val="22"/>
        </w:rPr>
        <w:t>Neurotoxoplasmose</w:t>
      </w:r>
      <w:proofErr w:type="spellEnd"/>
      <w:r w:rsidRPr="00523A95">
        <w:rPr>
          <w:rFonts w:ascii="Arial" w:hAnsi="Arial" w:cs="Arial"/>
          <w:sz w:val="22"/>
          <w:szCs w:val="22"/>
        </w:rPr>
        <w:t xml:space="preserve"> em paciente imunocompetente: relato de caso. Arquivos Brasileiros de Neurocirurgia: </w:t>
      </w:r>
      <w:proofErr w:type="spellStart"/>
      <w:r w:rsidRPr="00523A95">
        <w:rPr>
          <w:rFonts w:ascii="Arial" w:hAnsi="Arial" w:cs="Arial"/>
          <w:sz w:val="22"/>
          <w:szCs w:val="22"/>
        </w:rPr>
        <w:t>Brazilian</w:t>
      </w:r>
      <w:proofErr w:type="spellEnd"/>
      <w:r w:rsidRPr="00523A95">
        <w:rPr>
          <w:rFonts w:ascii="Arial" w:hAnsi="Arial" w:cs="Arial"/>
          <w:sz w:val="22"/>
          <w:szCs w:val="22"/>
        </w:rPr>
        <w:t xml:space="preserve"> </w:t>
      </w:r>
      <w:proofErr w:type="spellStart"/>
      <w:r w:rsidRPr="00523A95">
        <w:rPr>
          <w:rFonts w:ascii="Arial" w:hAnsi="Arial" w:cs="Arial"/>
          <w:sz w:val="22"/>
          <w:szCs w:val="22"/>
        </w:rPr>
        <w:t>Neurosurgery</w:t>
      </w:r>
      <w:proofErr w:type="spellEnd"/>
      <w:r w:rsidRPr="00523A95">
        <w:rPr>
          <w:rFonts w:ascii="Arial" w:hAnsi="Arial" w:cs="Arial"/>
          <w:sz w:val="22"/>
          <w:szCs w:val="22"/>
        </w:rPr>
        <w:t>, v. 34, n. 03, p. 225-228, 2015.</w:t>
      </w:r>
    </w:p>
    <w:p w14:paraId="3F73A98F" w14:textId="77777777" w:rsidR="00523A95" w:rsidRPr="00523A95" w:rsidRDefault="00523A95" w:rsidP="00523A95">
      <w:pPr>
        <w:numPr>
          <w:ilvl w:val="0"/>
          <w:numId w:val="1"/>
        </w:numPr>
        <w:spacing w:line="360" w:lineRule="auto"/>
        <w:jc w:val="both"/>
        <w:rPr>
          <w:rFonts w:ascii="Arial" w:hAnsi="Arial" w:cs="Arial"/>
          <w:sz w:val="22"/>
          <w:szCs w:val="22"/>
        </w:rPr>
      </w:pPr>
      <w:r w:rsidRPr="00523A95">
        <w:rPr>
          <w:rFonts w:ascii="Arial" w:hAnsi="Arial" w:cs="Arial"/>
          <w:sz w:val="22"/>
          <w:szCs w:val="22"/>
        </w:rPr>
        <w:t xml:space="preserve">ESCALADA, </w:t>
      </w:r>
      <w:proofErr w:type="spellStart"/>
      <w:r w:rsidRPr="00523A95">
        <w:rPr>
          <w:rFonts w:ascii="Arial" w:hAnsi="Arial" w:cs="Arial"/>
          <w:sz w:val="22"/>
          <w:szCs w:val="22"/>
        </w:rPr>
        <w:t>Regin</w:t>
      </w:r>
      <w:proofErr w:type="spellEnd"/>
      <w:r w:rsidRPr="00523A95">
        <w:rPr>
          <w:rFonts w:ascii="Arial" w:hAnsi="Arial" w:cs="Arial"/>
          <w:sz w:val="22"/>
          <w:szCs w:val="22"/>
        </w:rPr>
        <w:t xml:space="preserve"> </w:t>
      </w:r>
      <w:proofErr w:type="spellStart"/>
      <w:r w:rsidRPr="00523A95">
        <w:rPr>
          <w:rFonts w:ascii="Arial" w:hAnsi="Arial" w:cs="Arial"/>
          <w:sz w:val="22"/>
          <w:szCs w:val="22"/>
        </w:rPr>
        <w:t>Filamel</w:t>
      </w:r>
      <w:proofErr w:type="spellEnd"/>
      <w:r w:rsidRPr="00523A95">
        <w:rPr>
          <w:rFonts w:ascii="Arial" w:hAnsi="Arial" w:cs="Arial"/>
          <w:sz w:val="22"/>
          <w:szCs w:val="22"/>
        </w:rPr>
        <w:t xml:space="preserve"> R. et al. </w:t>
      </w:r>
      <w:r w:rsidRPr="00523A95">
        <w:rPr>
          <w:rFonts w:ascii="Arial" w:hAnsi="Arial" w:cs="Arial"/>
          <w:sz w:val="22"/>
          <w:szCs w:val="22"/>
          <w:lang w:val="en-US"/>
        </w:rPr>
        <w:t>Cerebral toxoplasmosis in an HIV-negative immunocompetent young man. </w:t>
      </w:r>
      <w:proofErr w:type="spellStart"/>
      <w:r w:rsidRPr="00523A95">
        <w:rPr>
          <w:rFonts w:ascii="Arial" w:hAnsi="Arial" w:cs="Arial"/>
          <w:sz w:val="22"/>
          <w:szCs w:val="22"/>
        </w:rPr>
        <w:t>Neurology</w:t>
      </w:r>
      <w:proofErr w:type="spellEnd"/>
      <w:r w:rsidRPr="00523A95">
        <w:rPr>
          <w:rFonts w:ascii="Arial" w:hAnsi="Arial" w:cs="Arial"/>
          <w:sz w:val="22"/>
          <w:szCs w:val="22"/>
        </w:rPr>
        <w:t xml:space="preserve"> Asia, v. 26, n. 2, p. 407-411, 2021.</w:t>
      </w:r>
    </w:p>
    <w:p w14:paraId="67578576" w14:textId="77777777" w:rsidR="007C187B" w:rsidRPr="003C6316" w:rsidRDefault="007C187B" w:rsidP="00523A95">
      <w:pPr>
        <w:spacing w:line="360" w:lineRule="auto"/>
        <w:jc w:val="both"/>
        <w:rPr>
          <w:rFonts w:ascii="Arial" w:hAnsi="Arial" w:cs="Arial"/>
          <w:sz w:val="22"/>
          <w:szCs w:val="22"/>
          <w:lang w:val="en-US"/>
        </w:rPr>
      </w:pPr>
    </w:p>
    <w:p w14:paraId="23A800AC" w14:textId="5AD97063" w:rsidR="007C187B" w:rsidRDefault="007C187B" w:rsidP="00523A95">
      <w:pPr>
        <w:spacing w:line="360" w:lineRule="auto"/>
        <w:jc w:val="both"/>
        <w:rPr>
          <w:rFonts w:ascii="Arial" w:hAnsi="Arial" w:cs="Arial"/>
          <w:sz w:val="22"/>
          <w:szCs w:val="22"/>
          <w:lang w:val="en-US"/>
        </w:rPr>
      </w:pPr>
    </w:p>
    <w:p w14:paraId="62B97202" w14:textId="7F57B414" w:rsidR="00523A95" w:rsidRDefault="00523A95" w:rsidP="00523A95">
      <w:pPr>
        <w:spacing w:line="360" w:lineRule="auto"/>
        <w:jc w:val="both"/>
        <w:rPr>
          <w:rFonts w:ascii="Arial" w:hAnsi="Arial" w:cs="Arial"/>
          <w:sz w:val="22"/>
          <w:szCs w:val="22"/>
          <w:lang w:val="en-US"/>
        </w:rPr>
      </w:pPr>
    </w:p>
    <w:p w14:paraId="62A45F0C" w14:textId="56DF2BE5" w:rsidR="00523A95" w:rsidRDefault="00523A95" w:rsidP="00523A95">
      <w:pPr>
        <w:spacing w:line="360" w:lineRule="auto"/>
        <w:jc w:val="both"/>
        <w:rPr>
          <w:rFonts w:ascii="Arial" w:hAnsi="Arial" w:cs="Arial"/>
          <w:sz w:val="22"/>
          <w:szCs w:val="22"/>
          <w:lang w:val="en-US"/>
        </w:rPr>
      </w:pPr>
    </w:p>
    <w:p w14:paraId="4AA3D68B" w14:textId="0A6A70FC" w:rsidR="00523A95" w:rsidRDefault="00523A95" w:rsidP="00523A95">
      <w:pPr>
        <w:spacing w:line="360" w:lineRule="auto"/>
        <w:jc w:val="both"/>
        <w:rPr>
          <w:rFonts w:ascii="Arial" w:hAnsi="Arial" w:cs="Arial"/>
          <w:sz w:val="22"/>
          <w:szCs w:val="22"/>
          <w:lang w:val="en-US"/>
        </w:rPr>
      </w:pPr>
    </w:p>
    <w:p w14:paraId="307D28E6" w14:textId="4C96BF9E" w:rsidR="00523A95" w:rsidRDefault="00523A95" w:rsidP="00523A95">
      <w:pPr>
        <w:spacing w:line="360" w:lineRule="auto"/>
        <w:jc w:val="both"/>
        <w:rPr>
          <w:rFonts w:ascii="Arial" w:hAnsi="Arial" w:cs="Arial"/>
          <w:sz w:val="22"/>
          <w:szCs w:val="22"/>
          <w:lang w:val="en-US"/>
        </w:rPr>
      </w:pPr>
    </w:p>
    <w:p w14:paraId="4E41F5DA" w14:textId="538183C9" w:rsidR="00523A95" w:rsidRDefault="00523A95" w:rsidP="00523A95">
      <w:pPr>
        <w:spacing w:line="360" w:lineRule="auto"/>
        <w:jc w:val="both"/>
        <w:rPr>
          <w:rFonts w:ascii="Arial" w:hAnsi="Arial" w:cs="Arial"/>
          <w:sz w:val="22"/>
          <w:szCs w:val="22"/>
          <w:lang w:val="en-US"/>
        </w:rPr>
      </w:pPr>
    </w:p>
    <w:p w14:paraId="31D5D025" w14:textId="729EEA7D" w:rsidR="00523A95" w:rsidRDefault="00523A95" w:rsidP="00523A95">
      <w:pPr>
        <w:spacing w:line="360" w:lineRule="auto"/>
        <w:jc w:val="both"/>
        <w:rPr>
          <w:rFonts w:ascii="Arial" w:hAnsi="Arial" w:cs="Arial"/>
          <w:sz w:val="22"/>
          <w:szCs w:val="22"/>
          <w:lang w:val="en-US"/>
        </w:rPr>
      </w:pPr>
    </w:p>
    <w:p w14:paraId="5596AF73" w14:textId="77777777" w:rsidR="00523A95" w:rsidRPr="003C6316" w:rsidRDefault="00523A95" w:rsidP="00523A95">
      <w:pPr>
        <w:spacing w:line="360" w:lineRule="auto"/>
        <w:jc w:val="both"/>
        <w:rPr>
          <w:rFonts w:ascii="Arial" w:hAnsi="Arial" w:cs="Arial"/>
          <w:sz w:val="22"/>
          <w:szCs w:val="22"/>
          <w:lang w:val="en-US"/>
        </w:rPr>
      </w:pPr>
    </w:p>
    <w:p w14:paraId="7F2E832C" w14:textId="77777777" w:rsidR="007C187B" w:rsidRPr="003C6316" w:rsidRDefault="007C187B" w:rsidP="00523A95">
      <w:pPr>
        <w:spacing w:line="360" w:lineRule="auto"/>
        <w:jc w:val="both"/>
        <w:rPr>
          <w:rFonts w:ascii="Arial" w:hAnsi="Arial" w:cs="Arial"/>
          <w:sz w:val="22"/>
          <w:szCs w:val="22"/>
          <w:lang w:val="en-US"/>
        </w:rPr>
      </w:pPr>
    </w:p>
    <w:p w14:paraId="366B3422" w14:textId="77777777" w:rsidR="007C187B" w:rsidRPr="003C6316" w:rsidRDefault="007C187B" w:rsidP="00523A95">
      <w:pPr>
        <w:spacing w:line="360" w:lineRule="auto"/>
        <w:jc w:val="both"/>
        <w:rPr>
          <w:rFonts w:ascii="Arial" w:hAnsi="Arial" w:cs="Arial"/>
          <w:sz w:val="22"/>
          <w:szCs w:val="22"/>
          <w:lang w:val="en-US"/>
        </w:rPr>
      </w:pPr>
      <w:r w:rsidRPr="003C6316">
        <w:rPr>
          <w:rFonts w:ascii="Arial" w:hAnsi="Arial" w:cs="Arial"/>
          <w:noProof/>
          <w:sz w:val="22"/>
          <w:szCs w:val="22"/>
          <w:lang w:val="en-US"/>
        </w:rPr>
        <w:lastRenderedPageBreak/>
        <w:drawing>
          <wp:inline distT="0" distB="0" distL="0" distR="0" wp14:anchorId="0FA5BED0" wp14:editId="6495FB71">
            <wp:extent cx="5400040" cy="3040380"/>
            <wp:effectExtent l="0" t="0" r="0" b="0"/>
            <wp:docPr id="15" name="Imagem 15" descr="Foto em preto e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Foto em preto e branco&#10;&#10;Descrição gerada automa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040" cy="3040380"/>
                    </a:xfrm>
                    <a:prstGeom prst="rect">
                      <a:avLst/>
                    </a:prstGeom>
                  </pic:spPr>
                </pic:pic>
              </a:graphicData>
            </a:graphic>
          </wp:inline>
        </w:drawing>
      </w:r>
    </w:p>
    <w:p w14:paraId="49BBCDA6" w14:textId="77777777" w:rsidR="007C187B" w:rsidRPr="003C6316" w:rsidRDefault="007C187B" w:rsidP="00523A95">
      <w:pPr>
        <w:spacing w:line="360" w:lineRule="auto"/>
        <w:jc w:val="both"/>
        <w:rPr>
          <w:rFonts w:ascii="Arial" w:eastAsia="Times New Roman" w:hAnsi="Arial" w:cs="Arial"/>
          <w:color w:val="000000"/>
          <w:sz w:val="22"/>
          <w:szCs w:val="22"/>
          <w:lang w:val="en-US" w:eastAsia="pt-BR"/>
        </w:rPr>
      </w:pPr>
      <w:r w:rsidRPr="003C6316">
        <w:rPr>
          <w:rFonts w:ascii="Arial" w:hAnsi="Arial" w:cs="Arial"/>
          <w:b/>
          <w:bCs/>
          <w:sz w:val="22"/>
          <w:szCs w:val="22"/>
          <w:lang w:val="en-US"/>
        </w:rPr>
        <w:t xml:space="preserve">Figure 1. (A-D) </w:t>
      </w:r>
      <w:r w:rsidRPr="003C6316">
        <w:rPr>
          <w:rFonts w:ascii="Arial" w:eastAsia="Times New Roman" w:hAnsi="Arial" w:cs="Arial"/>
          <w:color w:val="000000"/>
          <w:sz w:val="22"/>
          <w:szCs w:val="22"/>
          <w:lang w:val="en-US" w:eastAsia="pt-BR"/>
        </w:rPr>
        <w:t xml:space="preserve">Brain MRI demonstrating lesions with hyperintensities on T2 and iso signal on T1, mostly with bilateral and symmetrical distribution in the basal ganglia and cerebral peduncles in the midbrain with slight contrast enhancement. </w:t>
      </w:r>
      <w:r w:rsidRPr="003C6316">
        <w:rPr>
          <w:rStyle w:val="y2iqfc"/>
          <w:rFonts w:ascii="Arial" w:hAnsi="Arial" w:cs="Arial"/>
          <w:b/>
          <w:bCs/>
          <w:color w:val="202124"/>
          <w:sz w:val="22"/>
          <w:szCs w:val="22"/>
          <w:lang w:val="en"/>
        </w:rPr>
        <w:t>(E-H)</w:t>
      </w:r>
      <w:r w:rsidRPr="003C6316">
        <w:rPr>
          <w:rStyle w:val="y2iqfc"/>
          <w:rFonts w:ascii="Arial" w:hAnsi="Arial" w:cs="Arial"/>
          <w:color w:val="202124"/>
          <w:sz w:val="22"/>
          <w:szCs w:val="22"/>
          <w:lang w:val="en"/>
        </w:rPr>
        <w:t xml:space="preserve"> Brain MRI performed approximately 1 month after the </w:t>
      </w:r>
      <w:r w:rsidRPr="003C6316">
        <w:rPr>
          <w:rStyle w:val="y2iqfc"/>
          <w:rFonts w:ascii="Arial" w:hAnsi="Arial" w:cs="Arial"/>
          <w:color w:val="000000" w:themeColor="text1"/>
          <w:sz w:val="22"/>
          <w:szCs w:val="22"/>
          <w:lang w:val="en"/>
        </w:rPr>
        <w:t xml:space="preserve">start of </w:t>
      </w:r>
      <w:r w:rsidRPr="003C6316">
        <w:rPr>
          <w:rFonts w:ascii="Arial" w:hAnsi="Arial" w:cs="Arial"/>
          <w:color w:val="000000" w:themeColor="text1"/>
          <w:sz w:val="22"/>
          <w:szCs w:val="22"/>
          <w:shd w:val="clear" w:color="auto" w:fill="FFFFFF"/>
          <w:lang w:val="en-US"/>
        </w:rPr>
        <w:t>TMP-SMX</w:t>
      </w:r>
      <w:r w:rsidRPr="003C6316">
        <w:rPr>
          <w:rStyle w:val="y2iqfc"/>
          <w:rFonts w:ascii="Arial" w:hAnsi="Arial" w:cs="Arial"/>
          <w:color w:val="202124"/>
          <w:sz w:val="22"/>
          <w:szCs w:val="22"/>
          <w:lang w:val="en-US"/>
        </w:rPr>
        <w:t xml:space="preserve">, </w:t>
      </w:r>
      <w:r w:rsidRPr="003C6316">
        <w:rPr>
          <w:rStyle w:val="y2iqfc"/>
          <w:rFonts w:ascii="Arial" w:hAnsi="Arial" w:cs="Arial"/>
          <w:color w:val="202124"/>
          <w:sz w:val="22"/>
          <w:szCs w:val="22"/>
          <w:lang w:val="en"/>
        </w:rPr>
        <w:t>showing significant improvement of the lesions described above.</w:t>
      </w:r>
    </w:p>
    <w:p w14:paraId="56406C79" w14:textId="77777777" w:rsidR="00F1049B" w:rsidRPr="007C187B" w:rsidRDefault="00F1049B" w:rsidP="007C187B">
      <w:pPr>
        <w:spacing w:line="360" w:lineRule="auto"/>
        <w:rPr>
          <w:rFonts w:ascii="Arial" w:hAnsi="Arial" w:cs="Arial"/>
          <w:lang w:val="en-US"/>
        </w:rPr>
      </w:pPr>
    </w:p>
    <w:sectPr w:rsidR="00F1049B" w:rsidRPr="007C187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661DE7"/>
    <w:multiLevelType w:val="hybridMultilevel"/>
    <w:tmpl w:val="B2BAF6B0"/>
    <w:lvl w:ilvl="0" w:tplc="41D88A10">
      <w:start w:val="1"/>
      <w:numFmt w:val="decimal"/>
      <w:lvlText w:val="%1."/>
      <w:lvlJc w:val="left"/>
      <w:pPr>
        <w:tabs>
          <w:tab w:val="num" w:pos="720"/>
        </w:tabs>
        <w:ind w:left="720" w:hanging="360"/>
      </w:pPr>
    </w:lvl>
    <w:lvl w:ilvl="1" w:tplc="FC085DD6" w:tentative="1">
      <w:start w:val="1"/>
      <w:numFmt w:val="decimal"/>
      <w:lvlText w:val="%2."/>
      <w:lvlJc w:val="left"/>
      <w:pPr>
        <w:tabs>
          <w:tab w:val="num" w:pos="1440"/>
        </w:tabs>
        <w:ind w:left="1440" w:hanging="360"/>
      </w:pPr>
    </w:lvl>
    <w:lvl w:ilvl="2" w:tplc="5CDCD366" w:tentative="1">
      <w:start w:val="1"/>
      <w:numFmt w:val="decimal"/>
      <w:lvlText w:val="%3."/>
      <w:lvlJc w:val="left"/>
      <w:pPr>
        <w:tabs>
          <w:tab w:val="num" w:pos="2160"/>
        </w:tabs>
        <w:ind w:left="2160" w:hanging="360"/>
      </w:pPr>
    </w:lvl>
    <w:lvl w:ilvl="3" w:tplc="7D6E7FF0" w:tentative="1">
      <w:start w:val="1"/>
      <w:numFmt w:val="decimal"/>
      <w:lvlText w:val="%4."/>
      <w:lvlJc w:val="left"/>
      <w:pPr>
        <w:tabs>
          <w:tab w:val="num" w:pos="2880"/>
        </w:tabs>
        <w:ind w:left="2880" w:hanging="360"/>
      </w:pPr>
    </w:lvl>
    <w:lvl w:ilvl="4" w:tplc="89D09178" w:tentative="1">
      <w:start w:val="1"/>
      <w:numFmt w:val="decimal"/>
      <w:lvlText w:val="%5."/>
      <w:lvlJc w:val="left"/>
      <w:pPr>
        <w:tabs>
          <w:tab w:val="num" w:pos="3600"/>
        </w:tabs>
        <w:ind w:left="3600" w:hanging="360"/>
      </w:pPr>
    </w:lvl>
    <w:lvl w:ilvl="5" w:tplc="28164402" w:tentative="1">
      <w:start w:val="1"/>
      <w:numFmt w:val="decimal"/>
      <w:lvlText w:val="%6."/>
      <w:lvlJc w:val="left"/>
      <w:pPr>
        <w:tabs>
          <w:tab w:val="num" w:pos="4320"/>
        </w:tabs>
        <w:ind w:left="4320" w:hanging="360"/>
      </w:pPr>
    </w:lvl>
    <w:lvl w:ilvl="6" w:tplc="4E9C31C8" w:tentative="1">
      <w:start w:val="1"/>
      <w:numFmt w:val="decimal"/>
      <w:lvlText w:val="%7."/>
      <w:lvlJc w:val="left"/>
      <w:pPr>
        <w:tabs>
          <w:tab w:val="num" w:pos="5040"/>
        </w:tabs>
        <w:ind w:left="5040" w:hanging="360"/>
      </w:pPr>
    </w:lvl>
    <w:lvl w:ilvl="7" w:tplc="3F529C86" w:tentative="1">
      <w:start w:val="1"/>
      <w:numFmt w:val="decimal"/>
      <w:lvlText w:val="%8."/>
      <w:lvlJc w:val="left"/>
      <w:pPr>
        <w:tabs>
          <w:tab w:val="num" w:pos="5760"/>
        </w:tabs>
        <w:ind w:left="5760" w:hanging="360"/>
      </w:pPr>
    </w:lvl>
    <w:lvl w:ilvl="8" w:tplc="62DCF90C" w:tentative="1">
      <w:start w:val="1"/>
      <w:numFmt w:val="decimal"/>
      <w:lvlText w:val="%9."/>
      <w:lvlJc w:val="left"/>
      <w:pPr>
        <w:tabs>
          <w:tab w:val="num" w:pos="6480"/>
        </w:tabs>
        <w:ind w:left="6480" w:hanging="360"/>
      </w:pPr>
    </w:lvl>
  </w:abstractNum>
  <w:num w:numId="1" w16cid:durableId="17592059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87B"/>
    <w:rsid w:val="003C6316"/>
    <w:rsid w:val="00487FD7"/>
    <w:rsid w:val="004C7921"/>
    <w:rsid w:val="00523A95"/>
    <w:rsid w:val="007C187B"/>
    <w:rsid w:val="00F1049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6A7844DB"/>
  <w15:chartTrackingRefBased/>
  <w15:docId w15:val="{6AB467B2-4B9E-C545-A0CD-F0F4912F1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87B"/>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r-formataoHTML">
    <w:name w:val="HTML Preformatted"/>
    <w:basedOn w:val="Normal"/>
    <w:link w:val="Pr-formataoHTMLChar"/>
    <w:uiPriority w:val="99"/>
    <w:unhideWhenUsed/>
    <w:rsid w:val="007C18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7C187B"/>
    <w:rPr>
      <w:rFonts w:ascii="Courier New" w:eastAsia="Times New Roman" w:hAnsi="Courier New" w:cs="Courier New"/>
      <w:sz w:val="20"/>
      <w:szCs w:val="20"/>
      <w:lang w:eastAsia="pt-BR"/>
    </w:rPr>
  </w:style>
  <w:style w:type="character" w:customStyle="1" w:styleId="y2iqfc">
    <w:name w:val="y2iqfc"/>
    <w:basedOn w:val="Fontepargpadro"/>
    <w:rsid w:val="007C18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5</Pages>
  <Words>1412</Words>
  <Characters>7627</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Pinheiro</dc:creator>
  <cp:keywords/>
  <dc:description/>
  <cp:lastModifiedBy>Gabriel Pinheiro</cp:lastModifiedBy>
  <cp:revision>1</cp:revision>
  <dcterms:created xsi:type="dcterms:W3CDTF">2022-06-03T00:09:00Z</dcterms:created>
  <dcterms:modified xsi:type="dcterms:W3CDTF">2022-06-03T00:36:00Z</dcterms:modified>
</cp:coreProperties>
</file>