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51" w:rsidRPr="00735296" w:rsidRDefault="003C0A51" w:rsidP="003C0A51">
      <w:pPr>
        <w:tabs>
          <w:tab w:val="left" w:pos="2655"/>
        </w:tabs>
        <w:spacing w:line="360" w:lineRule="auto"/>
        <w:rPr>
          <w:b/>
          <w:lang w:val="en-US"/>
        </w:rPr>
      </w:pPr>
      <w:r>
        <w:rPr>
          <w:b/>
        </w:rPr>
        <w:tab/>
      </w:r>
      <w:r w:rsidRPr="00735296">
        <w:rPr>
          <w:b/>
          <w:lang w:val="en-US"/>
        </w:rPr>
        <w:t>BRAZILIAN CONGRESS OF NEUROLOGY 2022</w:t>
      </w:r>
    </w:p>
    <w:p w:rsidR="003C0A51" w:rsidRPr="00735296" w:rsidRDefault="003C0A51" w:rsidP="007E5C34">
      <w:pPr>
        <w:spacing w:line="360" w:lineRule="auto"/>
        <w:jc w:val="center"/>
        <w:rPr>
          <w:b/>
          <w:lang w:val="en-US"/>
        </w:rPr>
      </w:pPr>
    </w:p>
    <w:p w:rsidR="007E5C34" w:rsidRPr="00735296" w:rsidRDefault="007E5C34" w:rsidP="007E5C34">
      <w:pPr>
        <w:spacing w:line="360" w:lineRule="auto"/>
        <w:jc w:val="center"/>
        <w:rPr>
          <w:b/>
          <w:lang w:val="en-US"/>
        </w:rPr>
      </w:pPr>
      <w:r w:rsidRPr="00735296">
        <w:rPr>
          <w:b/>
          <w:lang w:val="en-US"/>
        </w:rPr>
        <w:t>Title</w:t>
      </w:r>
    </w:p>
    <w:p w:rsidR="007E5C34" w:rsidRPr="00735296" w:rsidRDefault="007E5C34" w:rsidP="007E5C34">
      <w:pPr>
        <w:spacing w:line="360" w:lineRule="auto"/>
        <w:jc w:val="center"/>
        <w:rPr>
          <w:b/>
          <w:lang w:val="en-US"/>
        </w:rPr>
      </w:pPr>
      <w:r w:rsidRPr="00735296">
        <w:rPr>
          <w:b/>
          <w:lang w:val="en-US"/>
        </w:rPr>
        <w:t>Acute Transverse Myelitis Associated with Vaccination against COVID-19: a systematic review of the literature</w:t>
      </w:r>
    </w:p>
    <w:p w:rsidR="007E5C34" w:rsidRPr="00735296" w:rsidRDefault="007E5C34" w:rsidP="007E5C34">
      <w:pPr>
        <w:spacing w:line="360" w:lineRule="auto"/>
        <w:jc w:val="center"/>
        <w:rPr>
          <w:b/>
          <w:lang w:val="en-US"/>
        </w:rPr>
      </w:pPr>
    </w:p>
    <w:p w:rsidR="00335790" w:rsidRPr="00735296" w:rsidRDefault="007E5C34" w:rsidP="00C31653">
      <w:pPr>
        <w:spacing w:line="360" w:lineRule="auto"/>
        <w:ind w:firstLine="708"/>
        <w:jc w:val="both"/>
        <w:rPr>
          <w:rFonts w:cs="NotoSans-Regular"/>
          <w:color w:val="171615"/>
          <w:lang w:val="en-US"/>
        </w:rPr>
      </w:pPr>
      <w:proofErr w:type="spellStart"/>
      <w:r w:rsidRPr="00735296">
        <w:rPr>
          <w:rFonts w:ascii="Verdana" w:hAnsi="Verdana"/>
          <w:color w:val="333333"/>
          <w:sz w:val="21"/>
          <w:szCs w:val="21"/>
          <w:shd w:val="clear" w:color="auto" w:fill="FAFAFA"/>
          <w:lang w:val="en-US"/>
        </w:rPr>
        <w:t>Introduction:</w:t>
      </w:r>
      <w:r w:rsidRPr="00735296">
        <w:rPr>
          <w:rFonts w:cs="Segoe UI"/>
          <w:color w:val="212121"/>
          <w:shd w:val="clear" w:color="auto" w:fill="FFFFFF"/>
          <w:lang w:val="en-US"/>
        </w:rPr>
        <w:t>Longitudinal</w:t>
      </w:r>
      <w:r w:rsidR="00735296">
        <w:rPr>
          <w:rFonts w:cs="Segoe UI"/>
          <w:color w:val="212121"/>
          <w:shd w:val="clear" w:color="auto" w:fill="FFFFFF"/>
          <w:lang w:val="en-US"/>
        </w:rPr>
        <w:t>ly</w:t>
      </w:r>
      <w:r w:rsidRPr="00735296">
        <w:rPr>
          <w:rFonts w:cs="Segoe UI"/>
          <w:color w:val="212121"/>
          <w:shd w:val="clear" w:color="auto" w:fill="FFFFFF"/>
          <w:lang w:val="en-US"/>
        </w:rPr>
        <w:t>extensive</w:t>
      </w:r>
      <w:proofErr w:type="spellEnd"/>
      <w:r w:rsidRPr="00735296">
        <w:rPr>
          <w:rFonts w:cs="Segoe UI"/>
          <w:color w:val="212121"/>
          <w:shd w:val="clear" w:color="auto" w:fill="FFFFFF"/>
          <w:lang w:val="en-US"/>
        </w:rPr>
        <w:t xml:space="preserve"> transverse myelitis (LETM) is a rare complication of different vaccines. Due to the </w:t>
      </w:r>
      <w:proofErr w:type="spellStart"/>
      <w:r w:rsidRPr="00735296">
        <w:rPr>
          <w:rFonts w:cs="Segoe UI"/>
          <w:color w:val="212121"/>
          <w:shd w:val="clear" w:color="auto" w:fill="FFFFFF"/>
          <w:lang w:val="en-US"/>
        </w:rPr>
        <w:t>pandemic</w:t>
      </w:r>
      <w:proofErr w:type="gramStart"/>
      <w:r w:rsidRPr="00735296">
        <w:rPr>
          <w:rFonts w:cs="Segoe UI"/>
          <w:color w:val="212121"/>
          <w:shd w:val="clear" w:color="auto" w:fill="FFFFFF"/>
          <w:lang w:val="en-US"/>
        </w:rPr>
        <w:t>,</w:t>
      </w:r>
      <w:r w:rsidR="00735296">
        <w:rPr>
          <w:rFonts w:cs="Arial"/>
          <w:color w:val="171615"/>
          <w:lang w:val="en-US"/>
        </w:rPr>
        <w:t>s</w:t>
      </w:r>
      <w:r w:rsidRPr="00735296">
        <w:rPr>
          <w:rFonts w:cs="Arial"/>
          <w:color w:val="171615"/>
          <w:lang w:val="en-US"/>
        </w:rPr>
        <w:t>everal</w:t>
      </w:r>
      <w:proofErr w:type="spellEnd"/>
      <w:proofErr w:type="gramEnd"/>
      <w:r w:rsidR="00735296">
        <w:rPr>
          <w:rFonts w:cs="Arial"/>
          <w:color w:val="171615"/>
          <w:lang w:val="en-US"/>
        </w:rPr>
        <w:t xml:space="preserve"> </w:t>
      </w:r>
      <w:r w:rsidR="00735296" w:rsidRPr="00735296">
        <w:rPr>
          <w:rFonts w:cs="Arial"/>
          <w:color w:val="171615"/>
          <w:lang w:val="en-US"/>
        </w:rPr>
        <w:t>COVID-19</w:t>
      </w:r>
      <w:r w:rsidRPr="00735296">
        <w:rPr>
          <w:rFonts w:cs="Arial"/>
          <w:color w:val="171615"/>
          <w:lang w:val="en-US"/>
        </w:rPr>
        <w:t xml:space="preserve"> vaccines have been </w:t>
      </w:r>
      <w:r w:rsidR="00735296">
        <w:rPr>
          <w:rFonts w:cs="Arial"/>
          <w:color w:val="171615"/>
          <w:lang w:val="en-US"/>
        </w:rPr>
        <w:t>used</w:t>
      </w:r>
      <w:r w:rsidRPr="00735296">
        <w:rPr>
          <w:rFonts w:cs="Arial"/>
          <w:color w:val="171615"/>
          <w:lang w:val="en-US"/>
        </w:rPr>
        <w:t xml:space="preserve"> worldwide. Among the reported side </w:t>
      </w:r>
      <w:proofErr w:type="spellStart"/>
      <w:r w:rsidRPr="00735296">
        <w:rPr>
          <w:rFonts w:cs="Arial"/>
          <w:color w:val="171615"/>
          <w:lang w:val="en-US"/>
        </w:rPr>
        <w:t>effects,</w:t>
      </w:r>
      <w:r w:rsidR="00335790" w:rsidRPr="00735296">
        <w:rPr>
          <w:rFonts w:cs="NotoSans-Regular"/>
          <w:color w:val="171615"/>
          <w:lang w:val="en-US"/>
        </w:rPr>
        <w:t>LETM</w:t>
      </w:r>
      <w:proofErr w:type="spellEnd"/>
      <w:r w:rsidR="00335790" w:rsidRPr="00735296">
        <w:rPr>
          <w:rFonts w:cs="NotoSans-Regular"/>
          <w:color w:val="171615"/>
          <w:lang w:val="en-US"/>
        </w:rPr>
        <w:t xml:space="preserve"> deserves to be highlighted</w:t>
      </w:r>
      <w:r w:rsidR="00735296">
        <w:rPr>
          <w:rFonts w:cs="NotoSans-Regular"/>
          <w:color w:val="171615"/>
          <w:lang w:val="en-US"/>
        </w:rPr>
        <w:t>,</w:t>
      </w:r>
      <w:r w:rsidR="00335790" w:rsidRPr="00735296">
        <w:rPr>
          <w:rFonts w:cs="NotoSans-Regular"/>
          <w:color w:val="171615"/>
          <w:lang w:val="en-US"/>
        </w:rPr>
        <w:t xml:space="preserve"> </w:t>
      </w:r>
      <w:r w:rsidR="00735296">
        <w:rPr>
          <w:rFonts w:cs="NotoSans-Regular"/>
          <w:color w:val="171615"/>
          <w:lang w:val="en-US"/>
        </w:rPr>
        <w:t>being</w:t>
      </w:r>
      <w:r w:rsidR="00335790" w:rsidRPr="00735296">
        <w:rPr>
          <w:rFonts w:cs="NotoSans-Regular"/>
          <w:color w:val="171615"/>
          <w:lang w:val="en-US"/>
        </w:rPr>
        <w:t xml:space="preserve"> a condition with high </w:t>
      </w:r>
      <w:proofErr w:type="spellStart"/>
      <w:r w:rsidR="00335790" w:rsidRPr="00735296">
        <w:rPr>
          <w:rFonts w:cs="NotoSans-Regular"/>
          <w:color w:val="171615"/>
          <w:lang w:val="en-US"/>
        </w:rPr>
        <w:t>morbidity.</w:t>
      </w:r>
      <w:r w:rsidRPr="00735296">
        <w:rPr>
          <w:rFonts w:ascii="Verdana" w:hAnsi="Verdana"/>
          <w:color w:val="333333"/>
          <w:sz w:val="21"/>
          <w:szCs w:val="21"/>
          <w:shd w:val="clear" w:color="auto" w:fill="FAFAFA"/>
          <w:lang w:val="en-US"/>
        </w:rPr>
        <w:t>Objective</w:t>
      </w:r>
      <w:proofErr w:type="spellEnd"/>
      <w:r w:rsidRPr="00735296">
        <w:rPr>
          <w:rFonts w:ascii="Verdana" w:hAnsi="Verdana"/>
          <w:color w:val="333333"/>
          <w:sz w:val="21"/>
          <w:szCs w:val="21"/>
          <w:shd w:val="clear" w:color="auto" w:fill="FAFAFA"/>
          <w:lang w:val="en-US"/>
        </w:rPr>
        <w:t>:</w:t>
      </w:r>
      <w:r w:rsidR="00735296">
        <w:rPr>
          <w:rFonts w:ascii="Verdana" w:hAnsi="Verdana"/>
          <w:color w:val="333333"/>
          <w:sz w:val="21"/>
          <w:szCs w:val="21"/>
          <w:shd w:val="clear" w:color="auto" w:fill="FAFAFA"/>
          <w:lang w:val="en-US"/>
        </w:rPr>
        <w:t xml:space="preserve"> To </w:t>
      </w:r>
      <w:r w:rsidR="00735296">
        <w:rPr>
          <w:rFonts w:cs="NotoSans-Regular"/>
          <w:color w:val="171615"/>
          <w:lang w:val="en-US"/>
        </w:rPr>
        <w:t>c</w:t>
      </w:r>
      <w:r w:rsidR="00C31653" w:rsidRPr="00735296">
        <w:rPr>
          <w:rFonts w:cs="NotoSans-Regular"/>
          <w:color w:val="171615"/>
          <w:lang w:val="en-US"/>
        </w:rPr>
        <w:t>onduct a systematic review of the literature on transverse myelitis associated with vaccination against Covid-19.</w:t>
      </w:r>
      <w:r w:rsidRPr="00735296">
        <w:rPr>
          <w:rFonts w:ascii="Verdana" w:hAnsi="Verdana"/>
          <w:color w:val="333333"/>
          <w:sz w:val="21"/>
          <w:szCs w:val="21"/>
          <w:shd w:val="clear" w:color="auto" w:fill="FAFAFA"/>
          <w:lang w:val="en-US"/>
        </w:rPr>
        <w:t>Method:</w:t>
      </w:r>
      <w:r w:rsidR="00C31653" w:rsidRPr="00735296">
        <w:rPr>
          <w:rFonts w:cs="Segoe UI"/>
          <w:color w:val="212121"/>
          <w:shd w:val="clear" w:color="auto" w:fill="FFFFFF"/>
          <w:lang w:val="en-US"/>
        </w:rPr>
        <w:t xml:space="preserve">A systematic review of the literature was carried out, </w:t>
      </w:r>
      <w:r w:rsidR="00735296">
        <w:rPr>
          <w:rFonts w:cs="Segoe UI"/>
          <w:color w:val="212121"/>
          <w:shd w:val="clear" w:color="auto" w:fill="FFFFFF"/>
          <w:lang w:val="en-US"/>
        </w:rPr>
        <w:t xml:space="preserve">that included </w:t>
      </w:r>
      <w:r w:rsidR="00335790" w:rsidRPr="00735296">
        <w:rPr>
          <w:lang w:val="en-US"/>
        </w:rPr>
        <w:t>articles published between March 2021 and January 20</w:t>
      </w:r>
      <w:r w:rsidR="00E910C4">
        <w:rPr>
          <w:lang w:val="en-US"/>
        </w:rPr>
        <w:t>22. Initially, 86</w:t>
      </w:r>
      <w:bookmarkStart w:id="0" w:name="_GoBack"/>
      <w:bookmarkEnd w:id="0"/>
      <w:r w:rsidR="00335790" w:rsidRPr="00735296">
        <w:rPr>
          <w:lang w:val="en-US"/>
        </w:rPr>
        <w:t xml:space="preserve"> articles were found. </w:t>
      </w:r>
      <w:r w:rsidR="00735296">
        <w:rPr>
          <w:lang w:val="en-US"/>
        </w:rPr>
        <w:t>After</w:t>
      </w:r>
      <w:r w:rsidR="00335790" w:rsidRPr="00735296">
        <w:rPr>
          <w:lang w:val="en-US"/>
        </w:rPr>
        <w:t xml:space="preserve"> applying the inclusion and exclusion criteria, </w:t>
      </w:r>
      <w:r w:rsidR="00735296">
        <w:rPr>
          <w:lang w:val="en-US"/>
        </w:rPr>
        <w:t xml:space="preserve">we encountered </w:t>
      </w:r>
      <w:r w:rsidR="00335790" w:rsidRPr="00735296">
        <w:rPr>
          <w:lang w:val="en-US"/>
        </w:rPr>
        <w:t xml:space="preserve">21 </w:t>
      </w:r>
      <w:r w:rsidR="00735296">
        <w:rPr>
          <w:lang w:val="en-US"/>
        </w:rPr>
        <w:t>publications</w:t>
      </w:r>
      <w:r w:rsidR="00335790" w:rsidRPr="00735296">
        <w:rPr>
          <w:lang w:val="en-US"/>
        </w:rPr>
        <w:t>.</w:t>
      </w:r>
      <w:r w:rsidR="00735296">
        <w:rPr>
          <w:lang w:val="en-US"/>
        </w:rPr>
        <w:t xml:space="preserve"> </w:t>
      </w:r>
      <w:proofErr w:type="spellStart"/>
      <w:r w:rsidRPr="00735296">
        <w:rPr>
          <w:rFonts w:ascii="Verdana" w:hAnsi="Verdana"/>
          <w:color w:val="333333"/>
          <w:sz w:val="21"/>
          <w:szCs w:val="21"/>
          <w:shd w:val="clear" w:color="auto" w:fill="FAFAFA"/>
          <w:lang w:val="en-US"/>
        </w:rPr>
        <w:t>Results</w:t>
      </w:r>
      <w:proofErr w:type="gramStart"/>
      <w:r w:rsidRPr="00735296">
        <w:rPr>
          <w:rFonts w:ascii="Verdana" w:hAnsi="Verdana"/>
          <w:color w:val="333333"/>
          <w:sz w:val="21"/>
          <w:szCs w:val="21"/>
          <w:shd w:val="clear" w:color="auto" w:fill="FAFAFA"/>
          <w:lang w:val="en-US"/>
        </w:rPr>
        <w:t>:</w:t>
      </w:r>
      <w:r w:rsidR="00C31653" w:rsidRPr="00735296">
        <w:rPr>
          <w:rFonts w:cs="HMGPN P+ Trebuchet MS"/>
          <w:lang w:val="en-US"/>
        </w:rPr>
        <w:t>There</w:t>
      </w:r>
      <w:proofErr w:type="spellEnd"/>
      <w:proofErr w:type="gramEnd"/>
      <w:r w:rsidR="00C31653" w:rsidRPr="00735296">
        <w:rPr>
          <w:rFonts w:cs="HMGPN P+ Trebuchet MS"/>
          <w:lang w:val="en-US"/>
        </w:rPr>
        <w:t xml:space="preserve"> were a total of 23 cases, with the</w:t>
      </w:r>
      <w:r w:rsidR="00735296">
        <w:rPr>
          <w:rFonts w:cs="HMGPN P+ Trebuchet MS"/>
          <w:lang w:val="en-US"/>
        </w:rPr>
        <w:t xml:space="preserve"> </w:t>
      </w:r>
      <w:r w:rsidR="00C31653" w:rsidRPr="00735296">
        <w:rPr>
          <w:rFonts w:cs="NotoSans-Regular"/>
          <w:color w:val="171615"/>
          <w:lang w:val="en-US"/>
        </w:rPr>
        <w:t>highest number in Germany, followed by Japan. The re</w:t>
      </w:r>
      <w:r w:rsidR="00735296">
        <w:rPr>
          <w:rFonts w:cs="NotoSans-Regular"/>
          <w:color w:val="171615"/>
          <w:lang w:val="en-US"/>
        </w:rPr>
        <w:t>maining</w:t>
      </w:r>
      <w:r w:rsidR="00C31653" w:rsidRPr="00735296">
        <w:rPr>
          <w:rFonts w:cs="NotoSans-Regular"/>
          <w:color w:val="171615"/>
          <w:lang w:val="en-US"/>
        </w:rPr>
        <w:t xml:space="preserve"> cases were</w:t>
      </w:r>
      <w:r w:rsidR="00735296">
        <w:rPr>
          <w:rFonts w:cs="NotoSans-Regular"/>
          <w:color w:val="171615"/>
          <w:lang w:val="en-US"/>
        </w:rPr>
        <w:t xml:space="preserve"> </w:t>
      </w:r>
      <w:r w:rsidR="00163949" w:rsidRPr="00735296">
        <w:rPr>
          <w:rFonts w:cs="HMGPN P+ Trebuchet MS"/>
          <w:lang w:val="en-US"/>
        </w:rPr>
        <w:t>reported in Italy, United States, China, United Kingdom, Malaysia, Iran, Brazil, Portugal, Turkey, India. The vaccines involved were: AZD1222</w:t>
      </w:r>
      <w:r w:rsidR="00335790" w:rsidRPr="00735296">
        <w:rPr>
          <w:rFonts w:cs="NotoSans-Regular"/>
          <w:lang w:val="en-US"/>
        </w:rPr>
        <w:t>AstraZeneca, Modern</w:t>
      </w:r>
      <w:r w:rsidR="00335790" w:rsidRPr="00735296">
        <w:rPr>
          <w:rFonts w:eastAsia="FrutigerLTPro-Condensed" w:cs="FrutigerLTPro-Condensed"/>
          <w:lang w:val="en-US"/>
        </w:rPr>
        <w:t>RNA-1273</w:t>
      </w:r>
      <w:r w:rsidR="00516F4F" w:rsidRPr="00735296">
        <w:rPr>
          <w:rFonts w:cs="NotoSans-Regular"/>
          <w:lang w:val="en-US"/>
        </w:rPr>
        <w:t xml:space="preserve">, the BNT162b2 </w:t>
      </w:r>
      <w:proofErr w:type="spellStart"/>
      <w:r w:rsidR="00516F4F" w:rsidRPr="00735296">
        <w:rPr>
          <w:rFonts w:cs="NotoSans-Regular"/>
          <w:lang w:val="en-US"/>
        </w:rPr>
        <w:t>vaccine</w:t>
      </w:r>
      <w:proofErr w:type="gramStart"/>
      <w:r w:rsidR="00516F4F" w:rsidRPr="00735296">
        <w:rPr>
          <w:rFonts w:cs="NotoSans-Regular"/>
          <w:lang w:val="en-US"/>
        </w:rPr>
        <w:t>,</w:t>
      </w:r>
      <w:r w:rsidR="00335790" w:rsidRPr="00735296">
        <w:rPr>
          <w:color w:val="000000"/>
          <w:shd w:val="clear" w:color="auto" w:fill="FFFFFF"/>
          <w:lang w:val="en-US"/>
        </w:rPr>
        <w:t>BBIBP</w:t>
      </w:r>
      <w:proofErr w:type="gramEnd"/>
      <w:r w:rsidR="00335790" w:rsidRPr="00735296">
        <w:rPr>
          <w:color w:val="000000"/>
          <w:shd w:val="clear" w:color="auto" w:fill="FFFFFF"/>
          <w:lang w:val="en-US"/>
        </w:rPr>
        <w:t>-CorV</w:t>
      </w:r>
      <w:proofErr w:type="spellEnd"/>
      <w:r w:rsidR="00335790" w:rsidRPr="00735296">
        <w:rPr>
          <w:color w:val="000000"/>
          <w:shd w:val="clear" w:color="auto" w:fill="FFFFFF"/>
          <w:lang w:val="en-US"/>
        </w:rPr>
        <w:t xml:space="preserve"> </w:t>
      </w:r>
      <w:proofErr w:type="spellStart"/>
      <w:r w:rsidR="00335790" w:rsidRPr="00735296">
        <w:rPr>
          <w:color w:val="000000"/>
          <w:shd w:val="clear" w:color="auto" w:fill="FFFFFF"/>
          <w:lang w:val="en-US"/>
        </w:rPr>
        <w:t>and</w:t>
      </w:r>
      <w:r w:rsidR="00335790" w:rsidRPr="00735296">
        <w:rPr>
          <w:rFonts w:ascii="Arial" w:hAnsi="Arial" w:cs="Arial"/>
          <w:color w:val="000000" w:themeColor="text1"/>
          <w:sz w:val="21"/>
          <w:szCs w:val="21"/>
          <w:shd w:val="clear" w:color="auto" w:fill="FFFFFF"/>
          <w:lang w:val="en-US"/>
        </w:rPr>
        <w:t>Ad</w:t>
      </w:r>
      <w:proofErr w:type="spellEnd"/>
      <w:r w:rsidR="00335790" w:rsidRPr="00735296">
        <w:rPr>
          <w:rFonts w:ascii="Arial" w:hAnsi="Arial" w:cs="Arial"/>
          <w:color w:val="000000" w:themeColor="text1"/>
          <w:sz w:val="21"/>
          <w:szCs w:val="21"/>
          <w:shd w:val="clear" w:color="auto" w:fill="FFFFFF"/>
          <w:lang w:val="en-US"/>
        </w:rPr>
        <w:t xml:space="preserve"> 26.COV2.S</w:t>
      </w:r>
      <w:r w:rsidR="00335790" w:rsidRPr="00735296">
        <w:rPr>
          <w:color w:val="000000"/>
          <w:shd w:val="clear" w:color="auto" w:fill="FFFFFF"/>
          <w:lang w:val="en-US"/>
        </w:rPr>
        <w:t xml:space="preserve">, </w:t>
      </w:r>
      <w:r w:rsidR="00335790" w:rsidRPr="00735296">
        <w:rPr>
          <w:rFonts w:cs="NotoSans-Regular"/>
          <w:color w:val="222222"/>
          <w:lang w:val="en-US"/>
        </w:rPr>
        <w:t>Johnson and Johnson</w:t>
      </w:r>
      <w:r w:rsidR="00335790" w:rsidRPr="00735296">
        <w:rPr>
          <w:rFonts w:eastAsia="FrutigerLTPro-Condensed" w:cs="FrutigerLTPro-Condensed"/>
          <w:lang w:val="en-US"/>
        </w:rPr>
        <w:t>.</w:t>
      </w:r>
      <w:r w:rsidR="00335790" w:rsidRPr="00735296">
        <w:rPr>
          <w:rFonts w:cs="NotoSans-Regular"/>
          <w:lang w:val="en-US"/>
        </w:rPr>
        <w:t xml:space="preserve">34.7% of the cases occurred in female patients and 47.8% in male </w:t>
      </w:r>
      <w:r w:rsidR="00735296">
        <w:rPr>
          <w:rFonts w:cs="NotoSans-Regular"/>
          <w:lang w:val="en-US"/>
        </w:rPr>
        <w:t>H</w:t>
      </w:r>
      <w:r w:rsidR="00335790" w:rsidRPr="00735296">
        <w:rPr>
          <w:rFonts w:cs="NotoSans-Regular"/>
          <w:lang w:val="en-US"/>
        </w:rPr>
        <w:t>ypertension and diabetes were the most common</w:t>
      </w:r>
      <w:r w:rsidR="00735296">
        <w:rPr>
          <w:rFonts w:cs="NotoSans-Regular"/>
          <w:lang w:val="en-US"/>
        </w:rPr>
        <w:t>ly present</w:t>
      </w:r>
      <w:r w:rsidR="00335790" w:rsidRPr="00735296">
        <w:rPr>
          <w:rFonts w:cs="NotoSans-Regular"/>
          <w:lang w:val="en-US"/>
        </w:rPr>
        <w:t xml:space="preserve">. The interval between vaccination and the LETM ranged from 24 hours to three weeks. The most common radiological findings on MRI </w:t>
      </w:r>
      <w:proofErr w:type="spellStart"/>
      <w:r w:rsidR="00335790" w:rsidRPr="00735296">
        <w:rPr>
          <w:rFonts w:cs="NotoSans-Regular"/>
          <w:lang w:val="en-US"/>
        </w:rPr>
        <w:t>were:</w:t>
      </w:r>
      <w:r w:rsidR="00335790" w:rsidRPr="00735296">
        <w:rPr>
          <w:rFonts w:cs="NotoSans-Regular"/>
          <w:color w:val="171615"/>
          <w:lang w:val="en-US"/>
        </w:rPr>
        <w:t>extensive</w:t>
      </w:r>
      <w:proofErr w:type="spellEnd"/>
      <w:r w:rsidR="00335790" w:rsidRPr="00735296">
        <w:rPr>
          <w:rFonts w:cs="NotoSans-Regular"/>
          <w:color w:val="171615"/>
          <w:lang w:val="en-US"/>
        </w:rPr>
        <w:t xml:space="preserve"> involvement of the cervical cord up to the thoracic spine, involvement of the cervical and thoracic cord </w:t>
      </w:r>
      <w:proofErr w:type="spellStart"/>
      <w:r w:rsidR="00335790" w:rsidRPr="00735296">
        <w:rPr>
          <w:rFonts w:cs="NotoSans-Regular"/>
          <w:color w:val="171615"/>
          <w:lang w:val="en-US"/>
        </w:rPr>
        <w:t>separately.</w:t>
      </w:r>
      <w:r w:rsidR="00735296">
        <w:rPr>
          <w:lang w:val="en-US"/>
        </w:rPr>
        <w:t>A</w:t>
      </w:r>
      <w:r w:rsidR="00335790" w:rsidRPr="00735296">
        <w:rPr>
          <w:lang w:val="en-US"/>
        </w:rPr>
        <w:t>mong</w:t>
      </w:r>
      <w:proofErr w:type="spellEnd"/>
      <w:r w:rsidR="00335790" w:rsidRPr="00735296">
        <w:rPr>
          <w:lang w:val="en-US"/>
        </w:rPr>
        <w:t xml:space="preserve"> the alterations found in the</w:t>
      </w:r>
      <w:r w:rsidR="00735296">
        <w:rPr>
          <w:lang w:val="en-US"/>
        </w:rPr>
        <w:t xml:space="preserve"> CSF</w:t>
      </w:r>
      <w:r w:rsidR="00335790" w:rsidRPr="00735296">
        <w:rPr>
          <w:lang w:val="en-US"/>
        </w:rPr>
        <w:t xml:space="preserve">, mild </w:t>
      </w:r>
      <w:proofErr w:type="spellStart"/>
      <w:r w:rsidR="00335790" w:rsidRPr="00735296">
        <w:rPr>
          <w:lang w:val="en-US"/>
        </w:rPr>
        <w:t>hyperproteinorraquia</w:t>
      </w:r>
      <w:proofErr w:type="spellEnd"/>
      <w:r w:rsidR="00335790" w:rsidRPr="00735296">
        <w:rPr>
          <w:lang w:val="en-US"/>
        </w:rPr>
        <w:t xml:space="preserve"> up to above 500mg/dL with unaltered cellularity were reported. Among the clinical manifestations, </w:t>
      </w:r>
      <w:proofErr w:type="spellStart"/>
      <w:r w:rsidR="00335790" w:rsidRPr="00735296">
        <w:rPr>
          <w:lang w:val="en-US"/>
        </w:rPr>
        <w:t>tetraparesis</w:t>
      </w:r>
      <w:proofErr w:type="spellEnd"/>
      <w:r w:rsidR="00335790" w:rsidRPr="00735296">
        <w:rPr>
          <w:lang w:val="en-US"/>
        </w:rPr>
        <w:t xml:space="preserve">, </w:t>
      </w:r>
      <w:proofErr w:type="spellStart"/>
      <w:r w:rsidR="00335790" w:rsidRPr="00735296">
        <w:rPr>
          <w:lang w:val="en-US"/>
        </w:rPr>
        <w:t>paraparesis</w:t>
      </w:r>
      <w:proofErr w:type="spellEnd"/>
      <w:r w:rsidR="00335790" w:rsidRPr="00735296">
        <w:rPr>
          <w:lang w:val="en-US"/>
        </w:rPr>
        <w:t xml:space="preserve"> or paraplegia were reported, with or without paresthesia, sensory level and urinary sphincter </w:t>
      </w:r>
      <w:r w:rsidR="00735296">
        <w:rPr>
          <w:lang w:val="en-US"/>
        </w:rPr>
        <w:t>dysfunction</w:t>
      </w:r>
      <w:r w:rsidR="00335790" w:rsidRPr="00735296">
        <w:rPr>
          <w:lang w:val="en-US"/>
        </w:rPr>
        <w:t>.</w:t>
      </w:r>
      <w:r w:rsidR="00735296">
        <w:rPr>
          <w:lang w:val="en-US"/>
        </w:rPr>
        <w:t xml:space="preserve"> The majority of patients received </w:t>
      </w:r>
      <w:r w:rsidR="00335790" w:rsidRPr="00735296">
        <w:rPr>
          <w:lang w:val="en-US"/>
        </w:rPr>
        <w:t xml:space="preserve">pulse therapy with methylprednisolone 1g/day, from three to five </w:t>
      </w:r>
      <w:r w:rsidR="00735296">
        <w:rPr>
          <w:lang w:val="en-US"/>
        </w:rPr>
        <w:t xml:space="preserve">consecutive </w:t>
      </w:r>
      <w:r w:rsidR="00335790" w:rsidRPr="00735296">
        <w:rPr>
          <w:lang w:val="en-US"/>
        </w:rPr>
        <w:t xml:space="preserve">days. In 26% of cases, </w:t>
      </w:r>
      <w:r w:rsidR="00735296">
        <w:rPr>
          <w:lang w:val="en-US"/>
        </w:rPr>
        <w:t xml:space="preserve">there was </w:t>
      </w:r>
      <w:r w:rsidR="00335790" w:rsidRPr="00735296">
        <w:rPr>
          <w:lang w:val="en-US"/>
        </w:rPr>
        <w:t>additional therapy with</w:t>
      </w:r>
      <w:r w:rsidR="00735296">
        <w:rPr>
          <w:lang w:val="en-US"/>
        </w:rPr>
        <w:t xml:space="preserve"> </w:t>
      </w:r>
      <w:r w:rsidR="00335790" w:rsidRPr="00735296">
        <w:rPr>
          <w:rFonts w:cs="NotoSans-Regular"/>
          <w:color w:val="000000" w:themeColor="text1"/>
          <w:lang w:val="en-US"/>
        </w:rPr>
        <w:t>plasmapheresis.</w:t>
      </w:r>
      <w:r w:rsidR="00735296">
        <w:rPr>
          <w:rFonts w:cs="NotoSans-Regular"/>
          <w:color w:val="000000" w:themeColor="text1"/>
          <w:lang w:val="en-US"/>
        </w:rPr>
        <w:t xml:space="preserve"> </w:t>
      </w:r>
      <w:r w:rsidR="00335790" w:rsidRPr="00735296">
        <w:rPr>
          <w:rFonts w:cs="NotoSans-Regular"/>
          <w:lang w:val="en-US"/>
        </w:rPr>
        <w:t xml:space="preserve">In one case, the patient spontaneously improved. In five cases reported there was complete remission of symptoms, in three cases the clinical outcome after treatment was not reported. And in the remaining cases there was partial improvement. In only one case, the patient died. </w:t>
      </w:r>
      <w:proofErr w:type="spellStart"/>
      <w:r w:rsidR="00335790" w:rsidRPr="00735296">
        <w:rPr>
          <w:rFonts w:cs="NotoSans-Regular"/>
          <w:lang w:val="en-US"/>
        </w:rPr>
        <w:t>Conclusion</w:t>
      </w:r>
      <w:proofErr w:type="gramStart"/>
      <w:r w:rsidR="00335790" w:rsidRPr="00735296">
        <w:rPr>
          <w:rFonts w:cs="NotoSans-Regular"/>
          <w:lang w:val="en-US"/>
        </w:rPr>
        <w:t>:</w:t>
      </w:r>
      <w:r w:rsidR="00335790" w:rsidRPr="00735296">
        <w:rPr>
          <w:color w:val="000000"/>
          <w:shd w:val="clear" w:color="auto" w:fill="FFFFFF"/>
          <w:lang w:val="en-US"/>
        </w:rPr>
        <w:t>Vaccines</w:t>
      </w:r>
      <w:proofErr w:type="spellEnd"/>
      <w:proofErr w:type="gramEnd"/>
      <w:r w:rsidR="00335790" w:rsidRPr="00735296">
        <w:rPr>
          <w:color w:val="000000"/>
          <w:shd w:val="clear" w:color="auto" w:fill="FFFFFF"/>
          <w:lang w:val="en-US"/>
        </w:rPr>
        <w:t xml:space="preserve"> against COVID-19 have a significant impact on morbidity and mortality, being indispensable in the fight against the pandemic. Post-vaccination LETM is a rare event, but early recognition is important as treatment can reduce long-term disability.</w:t>
      </w:r>
    </w:p>
    <w:p w:rsidR="00335790" w:rsidRPr="00735296" w:rsidRDefault="00335790" w:rsidP="00335790">
      <w:pPr>
        <w:rPr>
          <w:lang w:val="en-US"/>
        </w:rPr>
      </w:pPr>
      <w:r w:rsidRPr="00735296">
        <w:rPr>
          <w:lang w:val="en-US"/>
        </w:rPr>
        <w:lastRenderedPageBreak/>
        <w:tab/>
      </w:r>
    </w:p>
    <w:p w:rsidR="00335790" w:rsidRPr="00735296" w:rsidRDefault="00335790" w:rsidP="007E5C34">
      <w:pPr>
        <w:spacing w:line="360" w:lineRule="auto"/>
        <w:ind w:firstLine="708"/>
        <w:jc w:val="both"/>
        <w:rPr>
          <w:rFonts w:cs="Segoe UI"/>
          <w:color w:val="212121"/>
          <w:shd w:val="clear" w:color="auto" w:fill="FFFFFF"/>
          <w:lang w:val="en-US"/>
        </w:rPr>
      </w:pPr>
    </w:p>
    <w:p w:rsidR="007E5C34" w:rsidRPr="00735296" w:rsidRDefault="007E5C34" w:rsidP="007E5C34">
      <w:pPr>
        <w:spacing w:line="360" w:lineRule="auto"/>
        <w:ind w:firstLine="708"/>
        <w:jc w:val="both"/>
        <w:rPr>
          <w:rFonts w:cs="Segoe UI"/>
          <w:color w:val="212121"/>
          <w:shd w:val="clear" w:color="auto" w:fill="FFFFFF"/>
          <w:lang w:val="en-US"/>
        </w:rPr>
      </w:pPr>
    </w:p>
    <w:p w:rsidR="007E5C34" w:rsidRPr="00735296" w:rsidRDefault="007E5C34">
      <w:pPr>
        <w:rPr>
          <w:lang w:val="en-US"/>
        </w:rPr>
      </w:pPr>
    </w:p>
    <w:sectPr w:rsidR="007E5C34" w:rsidRPr="007352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otoSans-Regular">
    <w:altName w:val="Arial Unicode MS"/>
    <w:panose1 w:val="00000000000000000000"/>
    <w:charset w:val="00"/>
    <w:family w:val="auto"/>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MGPN P+ Trebuchet MS">
    <w:altName w:val="Trebuchet MS"/>
    <w:panose1 w:val="00000000000000000000"/>
    <w:charset w:val="00"/>
    <w:family w:val="roman"/>
    <w:notTrueType/>
    <w:pitch w:val="default"/>
    <w:sig w:usb0="00000003" w:usb1="00000000" w:usb2="00000000" w:usb3="00000000" w:csb0="00000001" w:csb1="00000000"/>
  </w:font>
  <w:font w:name="FrutigerLTPro-Condense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34"/>
    <w:rsid w:val="000D6ABC"/>
    <w:rsid w:val="00163949"/>
    <w:rsid w:val="00181F52"/>
    <w:rsid w:val="002D4E69"/>
    <w:rsid w:val="00335790"/>
    <w:rsid w:val="003C0A51"/>
    <w:rsid w:val="00471372"/>
    <w:rsid w:val="00516F4F"/>
    <w:rsid w:val="00735296"/>
    <w:rsid w:val="007E5C34"/>
    <w:rsid w:val="00C31653"/>
    <w:rsid w:val="00D91B55"/>
    <w:rsid w:val="00E910C4"/>
    <w:rsid w:val="00EF61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94278-30C5-47C2-9C8D-D7B50D66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C3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2</cp:revision>
  <dcterms:created xsi:type="dcterms:W3CDTF">2022-06-21T02:49:00Z</dcterms:created>
  <dcterms:modified xsi:type="dcterms:W3CDTF">2022-06-21T02:49:00Z</dcterms:modified>
</cp:coreProperties>
</file>