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1B9D" w14:textId="77777777" w:rsidR="00051C23" w:rsidRPr="00A82AA7" w:rsidRDefault="00051C23" w:rsidP="00051C23">
      <w:pPr>
        <w:spacing w:line="360" w:lineRule="auto"/>
        <w:jc w:val="center"/>
        <w:rPr>
          <w:rFonts w:ascii="Arial" w:hAnsi="Arial" w:cs="Arial"/>
          <w:b/>
          <w:bCs/>
          <w:sz w:val="22"/>
          <w:szCs w:val="22"/>
        </w:rPr>
      </w:pPr>
      <w:r w:rsidRPr="00A82AA7">
        <w:rPr>
          <w:rFonts w:ascii="Arial" w:hAnsi="Arial" w:cs="Arial"/>
          <w:b/>
          <w:bCs/>
          <w:sz w:val="22"/>
          <w:szCs w:val="22"/>
        </w:rPr>
        <w:t>Desafios em Neurologia – Casos Clínicos</w:t>
      </w:r>
    </w:p>
    <w:p w14:paraId="6DF62F33" w14:textId="77777777" w:rsidR="00051C23" w:rsidRPr="00A82AA7" w:rsidRDefault="00051C23" w:rsidP="00051C23">
      <w:pPr>
        <w:spacing w:line="360" w:lineRule="auto"/>
        <w:jc w:val="center"/>
        <w:rPr>
          <w:rFonts w:ascii="Arial" w:hAnsi="Arial" w:cs="Arial"/>
          <w:b/>
          <w:bCs/>
          <w:sz w:val="22"/>
          <w:szCs w:val="22"/>
        </w:rPr>
      </w:pPr>
      <w:r w:rsidRPr="00A82AA7">
        <w:rPr>
          <w:rFonts w:ascii="Arial" w:hAnsi="Arial" w:cs="Arial"/>
          <w:b/>
          <w:bCs/>
          <w:sz w:val="22"/>
          <w:szCs w:val="22"/>
        </w:rPr>
        <w:t>XXX Congresso da Academia Brasileira de Neurologia</w:t>
      </w:r>
    </w:p>
    <w:p w14:paraId="187D9737" w14:textId="77777777" w:rsidR="00051C23" w:rsidRPr="000030A5" w:rsidRDefault="00051C23" w:rsidP="00051C23">
      <w:pPr>
        <w:spacing w:line="360" w:lineRule="auto"/>
        <w:jc w:val="center"/>
        <w:rPr>
          <w:rFonts w:ascii="Arial" w:hAnsi="Arial" w:cs="Arial"/>
          <w:b/>
          <w:bCs/>
          <w:sz w:val="22"/>
          <w:szCs w:val="22"/>
        </w:rPr>
      </w:pPr>
      <w:r w:rsidRPr="00267DA3">
        <w:rPr>
          <w:rFonts w:ascii="Arial" w:hAnsi="Arial" w:cs="Arial"/>
          <w:b/>
          <w:bCs/>
          <w:sz w:val="22"/>
          <w:szCs w:val="22"/>
        </w:rPr>
        <w:t>An unusual cause</w:t>
      </w:r>
      <w:r w:rsidRPr="00676A6B">
        <w:rPr>
          <w:rFonts w:ascii="Arial" w:hAnsi="Arial" w:cs="Arial"/>
          <w:b/>
          <w:bCs/>
          <w:sz w:val="22"/>
          <w:szCs w:val="22"/>
        </w:rPr>
        <w:t xml:space="preserve"> of opsoclonus–myoclonus-ataxia syndrome</w:t>
      </w:r>
    </w:p>
    <w:p w14:paraId="251ECACF" w14:textId="77777777" w:rsidR="00051C23" w:rsidRDefault="00051C23" w:rsidP="00051C23">
      <w:pPr>
        <w:spacing w:line="360" w:lineRule="auto"/>
        <w:jc w:val="both"/>
        <w:rPr>
          <w:rFonts w:ascii="Arial" w:eastAsia="Arial Unicode MS" w:hAnsi="Arial" w:cs="Arial"/>
          <w:b/>
          <w:bCs/>
          <w:color w:val="000000" w:themeColor="text1"/>
          <w:sz w:val="22"/>
          <w:szCs w:val="22"/>
          <w:lang w:val="en-US"/>
        </w:rPr>
      </w:pPr>
    </w:p>
    <w:p w14:paraId="29573906" w14:textId="77777777" w:rsidR="00051C23" w:rsidRDefault="00051C23" w:rsidP="00051C23">
      <w:pPr>
        <w:spacing w:line="360" w:lineRule="auto"/>
        <w:jc w:val="both"/>
        <w:rPr>
          <w:rFonts w:ascii="Arial" w:eastAsia="Arial Unicode MS" w:hAnsi="Arial" w:cs="Arial"/>
          <w:color w:val="000000" w:themeColor="text1"/>
          <w:sz w:val="22"/>
          <w:szCs w:val="22"/>
          <w:lang w:val="en-US"/>
        </w:rPr>
      </w:pPr>
      <w:r w:rsidRPr="00676A6B">
        <w:rPr>
          <w:rFonts w:ascii="Arial" w:eastAsia="Arial Unicode MS" w:hAnsi="Arial" w:cs="Arial"/>
          <w:b/>
          <w:bCs/>
          <w:color w:val="000000" w:themeColor="text1"/>
          <w:sz w:val="22"/>
          <w:szCs w:val="22"/>
          <w:lang w:val="en-US"/>
        </w:rPr>
        <w:t>Identifying Data:</w:t>
      </w:r>
      <w:r w:rsidRPr="00676A6B">
        <w:rPr>
          <w:rFonts w:ascii="Arial" w:eastAsia="Arial Unicode MS" w:hAnsi="Arial" w:cs="Arial"/>
          <w:color w:val="000000" w:themeColor="text1"/>
          <w:sz w:val="22"/>
          <w:szCs w:val="22"/>
          <w:lang w:val="en-US"/>
        </w:rPr>
        <w:t xml:space="preserve"> </w:t>
      </w:r>
    </w:p>
    <w:p w14:paraId="12335C25" w14:textId="77777777" w:rsidR="00051C23" w:rsidRDefault="00051C23" w:rsidP="00051C23">
      <w:pPr>
        <w:spacing w:line="360" w:lineRule="auto"/>
        <w:jc w:val="both"/>
        <w:rPr>
          <w:rFonts w:ascii="Arial" w:eastAsia="Arial Unicode MS" w:hAnsi="Arial" w:cs="Arial"/>
          <w:color w:val="000000" w:themeColor="text1"/>
          <w:sz w:val="22"/>
          <w:szCs w:val="22"/>
          <w:lang w:val="en-US"/>
        </w:rPr>
      </w:pPr>
      <w:r>
        <w:rPr>
          <w:rFonts w:ascii="Arial" w:eastAsia="Arial Unicode MS" w:hAnsi="Arial" w:cs="Arial"/>
          <w:color w:val="000000" w:themeColor="text1"/>
          <w:sz w:val="22"/>
          <w:szCs w:val="22"/>
          <w:lang w:val="en-US"/>
        </w:rPr>
        <w:t xml:space="preserve">V.S.A is a </w:t>
      </w:r>
      <w:r w:rsidRPr="00676A6B">
        <w:rPr>
          <w:rFonts w:ascii="Arial" w:eastAsia="Arial Unicode MS" w:hAnsi="Arial" w:cs="Arial"/>
          <w:color w:val="000000" w:themeColor="text1"/>
          <w:sz w:val="22"/>
          <w:szCs w:val="22"/>
          <w:lang w:val="en-US"/>
        </w:rPr>
        <w:t>27-year-old</w:t>
      </w:r>
      <w:r>
        <w:rPr>
          <w:rFonts w:ascii="Arial" w:eastAsia="Arial Unicode MS" w:hAnsi="Arial" w:cs="Arial"/>
          <w:color w:val="000000" w:themeColor="text1"/>
          <w:sz w:val="22"/>
          <w:szCs w:val="22"/>
          <w:lang w:val="en-US"/>
        </w:rPr>
        <w:t xml:space="preserve"> single</w:t>
      </w:r>
      <w:r w:rsidRPr="00676A6B">
        <w:rPr>
          <w:rFonts w:ascii="Arial" w:eastAsia="Arial Unicode MS" w:hAnsi="Arial" w:cs="Arial"/>
          <w:color w:val="000000" w:themeColor="text1"/>
          <w:sz w:val="22"/>
          <w:szCs w:val="22"/>
          <w:lang w:val="en-US"/>
        </w:rPr>
        <w:t xml:space="preserve"> female</w:t>
      </w:r>
      <w:r>
        <w:rPr>
          <w:rFonts w:ascii="Arial" w:eastAsia="Arial Unicode MS" w:hAnsi="Arial" w:cs="Arial"/>
          <w:color w:val="000000" w:themeColor="text1"/>
          <w:sz w:val="22"/>
          <w:szCs w:val="22"/>
          <w:lang w:val="en-US"/>
        </w:rPr>
        <w:t xml:space="preserve">, </w:t>
      </w:r>
      <w:r w:rsidRPr="00C82106">
        <w:rPr>
          <w:rFonts w:ascii="Arial" w:eastAsia="Arial Unicode MS" w:hAnsi="Arial" w:cs="Arial"/>
          <w:color w:val="000000" w:themeColor="text1"/>
          <w:sz w:val="22"/>
          <w:szCs w:val="22"/>
          <w:lang w:val="en-US"/>
        </w:rPr>
        <w:t>right-handed, born and raised in São Paulo, SP – Brazil, who is currently unemployed.</w:t>
      </w:r>
    </w:p>
    <w:p w14:paraId="5762BD6C" w14:textId="77777777" w:rsidR="00051C23" w:rsidRDefault="00051C23" w:rsidP="00051C23">
      <w:pPr>
        <w:spacing w:line="360" w:lineRule="auto"/>
        <w:jc w:val="both"/>
        <w:rPr>
          <w:rFonts w:ascii="Arial" w:eastAsia="Arial Unicode MS" w:hAnsi="Arial" w:cs="Arial"/>
          <w:color w:val="000000" w:themeColor="text1"/>
          <w:sz w:val="22"/>
          <w:szCs w:val="22"/>
          <w:lang w:val="en-US"/>
        </w:rPr>
      </w:pPr>
    </w:p>
    <w:p w14:paraId="0209CB1B" w14:textId="77777777" w:rsidR="00051C23" w:rsidRPr="00B57A70" w:rsidRDefault="00051C23" w:rsidP="00051C23">
      <w:pPr>
        <w:spacing w:line="360" w:lineRule="auto"/>
        <w:rPr>
          <w:rFonts w:ascii="Arial" w:eastAsia="Arial Unicode MS" w:hAnsi="Arial" w:cs="Arial"/>
          <w:b/>
          <w:bCs/>
          <w:color w:val="000000" w:themeColor="text1"/>
          <w:sz w:val="22"/>
          <w:szCs w:val="22"/>
          <w:lang w:val="en-US"/>
        </w:rPr>
      </w:pPr>
      <w:r w:rsidRPr="00B57A70">
        <w:rPr>
          <w:rFonts w:ascii="Arial" w:eastAsia="Arial Unicode MS" w:hAnsi="Arial" w:cs="Arial"/>
          <w:b/>
          <w:bCs/>
          <w:color w:val="000000" w:themeColor="text1"/>
          <w:sz w:val="22"/>
          <w:szCs w:val="22"/>
          <w:lang w:val="en-US"/>
        </w:rPr>
        <w:t>Diagnostic Hypotheses:</w:t>
      </w:r>
    </w:p>
    <w:p w14:paraId="4CC16961" w14:textId="77777777" w:rsidR="00051C23" w:rsidRPr="00B57A70" w:rsidRDefault="00051C23" w:rsidP="00051C23">
      <w:pPr>
        <w:spacing w:line="360" w:lineRule="auto"/>
        <w:rPr>
          <w:rFonts w:ascii="Arial" w:eastAsia="Arial Unicode MS" w:hAnsi="Arial" w:cs="Arial"/>
          <w:color w:val="000000" w:themeColor="text1"/>
          <w:sz w:val="22"/>
          <w:szCs w:val="22"/>
          <w:lang w:val="en-US"/>
        </w:rPr>
      </w:pPr>
      <w:r w:rsidRPr="00B57A70">
        <w:rPr>
          <w:rFonts w:ascii="Arial" w:eastAsia="Arial Unicode MS" w:hAnsi="Arial" w:cs="Arial"/>
          <w:color w:val="000000" w:themeColor="text1"/>
          <w:sz w:val="22"/>
          <w:szCs w:val="22"/>
          <w:lang w:val="en-US"/>
        </w:rPr>
        <w:t>&gt; Syndromic: Extrapyramidal Syndrome + Cerebellar Syndrome + Cognitive-behavioral syndrome</w:t>
      </w:r>
    </w:p>
    <w:p w14:paraId="32F48C47" w14:textId="77777777" w:rsidR="00051C23" w:rsidRPr="00B57A70" w:rsidRDefault="00051C23" w:rsidP="00051C23">
      <w:pPr>
        <w:pStyle w:val="NormalWeb"/>
        <w:spacing w:before="0" w:beforeAutospacing="0" w:after="0" w:afterAutospacing="0" w:line="360" w:lineRule="auto"/>
        <w:rPr>
          <w:rFonts w:ascii="Arial" w:eastAsia="Arial Unicode MS" w:hAnsi="Arial" w:cs="Arial"/>
          <w:color w:val="000000" w:themeColor="text1"/>
          <w:sz w:val="22"/>
          <w:szCs w:val="22"/>
          <w:lang w:val="en-US"/>
        </w:rPr>
      </w:pPr>
      <w:r w:rsidRPr="00B57A70">
        <w:rPr>
          <w:rFonts w:ascii="Arial" w:eastAsia="Arial Unicode MS" w:hAnsi="Arial" w:cs="Arial"/>
          <w:color w:val="000000" w:themeColor="text1"/>
          <w:sz w:val="22"/>
          <w:szCs w:val="22"/>
          <w:lang w:val="en-US"/>
        </w:rPr>
        <w:t xml:space="preserve">&gt; Topographic: </w:t>
      </w:r>
      <w:r>
        <w:rPr>
          <w:rFonts w:ascii="Arial" w:eastAsia="Arial Unicode MS" w:hAnsi="Arial" w:cs="Arial"/>
          <w:color w:val="000000" w:themeColor="text1"/>
          <w:sz w:val="22"/>
          <w:szCs w:val="22"/>
          <w:lang w:val="en-US"/>
        </w:rPr>
        <w:t>M</w:t>
      </w:r>
      <w:r w:rsidRPr="00B57A70">
        <w:rPr>
          <w:rFonts w:ascii="Arial" w:eastAsia="Arial Unicode MS" w:hAnsi="Arial" w:cs="Arial"/>
          <w:color w:val="000000" w:themeColor="text1"/>
          <w:sz w:val="22"/>
          <w:szCs w:val="22"/>
          <w:lang w:val="en-US"/>
        </w:rPr>
        <w:t xml:space="preserve">edulla + </w:t>
      </w:r>
      <w:r>
        <w:rPr>
          <w:rFonts w:ascii="Arial" w:eastAsia="Arial Unicode MS" w:hAnsi="Arial" w:cs="Arial"/>
          <w:color w:val="000000" w:themeColor="text1"/>
          <w:sz w:val="22"/>
          <w:szCs w:val="22"/>
          <w:lang w:val="en-US"/>
        </w:rPr>
        <w:t>P</w:t>
      </w:r>
      <w:r w:rsidRPr="00B57A70">
        <w:rPr>
          <w:rFonts w:ascii="Arial" w:eastAsia="Arial Unicode MS" w:hAnsi="Arial" w:cs="Arial"/>
          <w:color w:val="000000" w:themeColor="text1"/>
          <w:sz w:val="22"/>
          <w:szCs w:val="22"/>
          <w:lang w:val="en-US"/>
        </w:rPr>
        <w:t>ons/</w:t>
      </w:r>
      <w:r>
        <w:rPr>
          <w:rFonts w:ascii="Arial" w:eastAsia="Arial Unicode MS" w:hAnsi="Arial" w:cs="Arial"/>
          <w:color w:val="000000" w:themeColor="text1"/>
          <w:sz w:val="22"/>
          <w:szCs w:val="22"/>
          <w:lang w:val="en-US"/>
        </w:rPr>
        <w:t>C</w:t>
      </w:r>
      <w:r w:rsidRPr="00B57A70">
        <w:rPr>
          <w:rFonts w:ascii="Arial" w:eastAsia="Arial Unicode MS" w:hAnsi="Arial" w:cs="Arial"/>
          <w:color w:val="000000" w:themeColor="text1"/>
          <w:sz w:val="22"/>
          <w:szCs w:val="22"/>
          <w:lang w:val="en-US"/>
        </w:rPr>
        <w:t xml:space="preserve">erebellum </w:t>
      </w:r>
    </w:p>
    <w:p w14:paraId="6AB648B2" w14:textId="77777777" w:rsidR="00051C23" w:rsidRPr="00B57A70" w:rsidRDefault="00051C23" w:rsidP="00051C23">
      <w:pPr>
        <w:spacing w:line="360" w:lineRule="auto"/>
        <w:rPr>
          <w:rFonts w:ascii="Arial" w:eastAsia="Arial Unicode MS" w:hAnsi="Arial" w:cs="Arial"/>
          <w:color w:val="000000" w:themeColor="text1"/>
          <w:sz w:val="22"/>
          <w:szCs w:val="22"/>
          <w:lang w:val="en-US"/>
        </w:rPr>
      </w:pPr>
      <w:r w:rsidRPr="00B57A70">
        <w:rPr>
          <w:rFonts w:ascii="Arial" w:eastAsia="Arial Unicode MS" w:hAnsi="Arial" w:cs="Arial"/>
          <w:color w:val="000000" w:themeColor="text1"/>
          <w:sz w:val="22"/>
          <w:szCs w:val="22"/>
          <w:lang w:val="en-US"/>
        </w:rPr>
        <w:t xml:space="preserve">&gt; </w:t>
      </w:r>
      <w:proofErr w:type="spellStart"/>
      <w:r w:rsidRPr="00B57A70">
        <w:rPr>
          <w:rFonts w:ascii="Arial" w:eastAsia="Arial Unicode MS" w:hAnsi="Arial" w:cs="Arial"/>
          <w:color w:val="000000" w:themeColor="text1"/>
          <w:sz w:val="22"/>
          <w:szCs w:val="22"/>
          <w:lang w:val="en-US"/>
        </w:rPr>
        <w:t>Nosological</w:t>
      </w:r>
      <w:proofErr w:type="spellEnd"/>
      <w:r w:rsidRPr="00B57A70">
        <w:rPr>
          <w:rFonts w:ascii="Arial" w:eastAsia="Arial Unicode MS" w:hAnsi="Arial" w:cs="Arial"/>
          <w:color w:val="000000" w:themeColor="text1"/>
          <w:sz w:val="22"/>
          <w:szCs w:val="22"/>
          <w:lang w:val="en-US"/>
        </w:rPr>
        <w:t>: Inflammatory/Demyelinating</w:t>
      </w:r>
    </w:p>
    <w:p w14:paraId="6E0FCAC0" w14:textId="77777777" w:rsidR="00051C23" w:rsidRPr="00B57A70" w:rsidRDefault="00051C23" w:rsidP="00051C23">
      <w:pPr>
        <w:spacing w:line="360" w:lineRule="auto"/>
        <w:rPr>
          <w:rFonts w:ascii="Arial" w:eastAsia="Arial Unicode MS" w:hAnsi="Arial" w:cs="Arial"/>
          <w:color w:val="000000" w:themeColor="text1"/>
          <w:sz w:val="22"/>
          <w:szCs w:val="22"/>
          <w:lang w:val="en-US"/>
        </w:rPr>
      </w:pPr>
      <w:r w:rsidRPr="00B57A70">
        <w:rPr>
          <w:rFonts w:ascii="Arial" w:eastAsia="Arial Unicode MS" w:hAnsi="Arial" w:cs="Arial"/>
          <w:color w:val="000000" w:themeColor="text1"/>
          <w:sz w:val="22"/>
          <w:szCs w:val="22"/>
          <w:lang w:val="en-US"/>
        </w:rPr>
        <w:t>&gt; Etiologic: Multiple sclerosis</w:t>
      </w:r>
    </w:p>
    <w:p w14:paraId="6EE20BC7" w14:textId="77777777" w:rsidR="00051C23" w:rsidRPr="00676A6B" w:rsidRDefault="00051C23" w:rsidP="00051C23">
      <w:pPr>
        <w:spacing w:line="360" w:lineRule="auto"/>
        <w:jc w:val="both"/>
        <w:rPr>
          <w:rFonts w:ascii="Arial" w:eastAsia="Arial Unicode MS" w:hAnsi="Arial" w:cs="Arial"/>
          <w:color w:val="000000" w:themeColor="text1"/>
          <w:sz w:val="22"/>
          <w:szCs w:val="22"/>
          <w:lang w:val="en-US"/>
        </w:rPr>
      </w:pPr>
    </w:p>
    <w:p w14:paraId="70EABE03" w14:textId="77777777" w:rsidR="00051C23" w:rsidRDefault="00051C23" w:rsidP="00051C23">
      <w:pPr>
        <w:spacing w:line="360" w:lineRule="auto"/>
        <w:jc w:val="both"/>
        <w:outlineLvl w:val="0"/>
        <w:rPr>
          <w:rFonts w:ascii="Arial" w:eastAsia="Arial Unicode MS" w:hAnsi="Arial" w:cs="Arial"/>
          <w:color w:val="000000" w:themeColor="text1"/>
          <w:sz w:val="22"/>
          <w:szCs w:val="22"/>
          <w:lang w:val="en-US"/>
        </w:rPr>
      </w:pPr>
      <w:r w:rsidRPr="00FC69F6">
        <w:rPr>
          <w:rFonts w:ascii="Arial" w:eastAsia="Arial Unicode MS" w:hAnsi="Arial" w:cs="Arial"/>
          <w:b/>
          <w:bCs/>
          <w:color w:val="000000" w:themeColor="text1"/>
          <w:sz w:val="22"/>
          <w:szCs w:val="22"/>
          <w:lang w:val="en-US"/>
        </w:rPr>
        <w:t>Chief Complaint</w:t>
      </w:r>
      <w:r w:rsidRPr="00FC69F6">
        <w:rPr>
          <w:rFonts w:ascii="Arial" w:eastAsia="Arial Unicode MS" w:hAnsi="Arial" w:cs="Arial"/>
          <w:color w:val="000000" w:themeColor="text1"/>
          <w:sz w:val="22"/>
          <w:szCs w:val="22"/>
          <w:lang w:val="en-US"/>
        </w:rPr>
        <w:t>:</w:t>
      </w:r>
      <w:r>
        <w:rPr>
          <w:rFonts w:ascii="Arial" w:eastAsia="Arial Unicode MS" w:hAnsi="Arial" w:cs="Arial"/>
          <w:color w:val="000000" w:themeColor="text1"/>
          <w:sz w:val="22"/>
          <w:szCs w:val="22"/>
          <w:lang w:val="en-US"/>
        </w:rPr>
        <w:t xml:space="preserve"> </w:t>
      </w:r>
    </w:p>
    <w:p w14:paraId="78886881" w14:textId="77777777" w:rsidR="00051C23" w:rsidRDefault="00051C23" w:rsidP="00051C23">
      <w:pPr>
        <w:spacing w:line="360" w:lineRule="auto"/>
        <w:rPr>
          <w:rFonts w:ascii="Arial" w:eastAsia="Arial Unicode MS" w:hAnsi="Arial" w:cs="Arial"/>
          <w:color w:val="000000" w:themeColor="text1"/>
          <w:sz w:val="22"/>
          <w:szCs w:val="22"/>
          <w:lang w:val="en-US"/>
        </w:rPr>
      </w:pPr>
      <w:r>
        <w:rPr>
          <w:rFonts w:ascii="Arial" w:eastAsia="Arial Unicode MS" w:hAnsi="Arial" w:cs="Arial"/>
          <w:color w:val="000000" w:themeColor="text1"/>
          <w:sz w:val="22"/>
          <w:szCs w:val="22"/>
          <w:lang w:val="en-US"/>
        </w:rPr>
        <w:t xml:space="preserve">Nausea, </w:t>
      </w:r>
      <w:r w:rsidRPr="006A2A48">
        <w:rPr>
          <w:rFonts w:ascii="Arial" w:eastAsia="Arial Unicode MS" w:hAnsi="Arial" w:cs="Arial"/>
          <w:color w:val="000000" w:themeColor="text1"/>
          <w:sz w:val="22"/>
          <w:szCs w:val="22"/>
          <w:lang w:val="en-US"/>
        </w:rPr>
        <w:t>v</w:t>
      </w:r>
      <w:r w:rsidRPr="00A0768E">
        <w:rPr>
          <w:rFonts w:ascii="Arial" w:eastAsia="Arial Unicode MS" w:hAnsi="Arial" w:cs="Arial"/>
          <w:color w:val="000000" w:themeColor="text1"/>
          <w:sz w:val="22"/>
          <w:szCs w:val="22"/>
          <w:lang w:val="en-US"/>
        </w:rPr>
        <w:t>ision and walking difficulties</w:t>
      </w:r>
      <w:r>
        <w:rPr>
          <w:rFonts w:ascii="Arial" w:eastAsia="Arial Unicode MS" w:hAnsi="Arial" w:cs="Arial"/>
          <w:color w:val="000000" w:themeColor="text1"/>
          <w:sz w:val="22"/>
          <w:szCs w:val="22"/>
          <w:lang w:val="en-US"/>
        </w:rPr>
        <w:t xml:space="preserve"> </w:t>
      </w:r>
    </w:p>
    <w:p w14:paraId="241E20F7" w14:textId="77777777" w:rsidR="00051C23" w:rsidRDefault="00051C23" w:rsidP="00051C23">
      <w:pPr>
        <w:spacing w:line="360" w:lineRule="auto"/>
        <w:rPr>
          <w:rFonts w:ascii="Arial" w:eastAsia="Arial Unicode MS" w:hAnsi="Arial" w:cs="Arial"/>
          <w:color w:val="000000" w:themeColor="text1"/>
          <w:sz w:val="22"/>
          <w:szCs w:val="22"/>
          <w:lang w:val="en-US"/>
        </w:rPr>
      </w:pPr>
    </w:p>
    <w:p w14:paraId="32E36033" w14:textId="77777777" w:rsidR="00051C23" w:rsidRDefault="00051C23" w:rsidP="00051C23">
      <w:pPr>
        <w:spacing w:line="360" w:lineRule="auto"/>
        <w:jc w:val="both"/>
        <w:outlineLvl w:val="0"/>
        <w:rPr>
          <w:rFonts w:ascii="Arial" w:eastAsia="Arial Unicode MS" w:hAnsi="Arial" w:cs="Arial"/>
          <w:b/>
          <w:bCs/>
          <w:color w:val="000000" w:themeColor="text1"/>
          <w:sz w:val="22"/>
          <w:szCs w:val="22"/>
          <w:lang w:val="en-US"/>
        </w:rPr>
      </w:pPr>
      <w:r w:rsidRPr="00676A6B">
        <w:rPr>
          <w:rFonts w:ascii="Arial" w:eastAsia="Arial Unicode MS" w:hAnsi="Arial" w:cs="Arial"/>
          <w:b/>
          <w:bCs/>
          <w:color w:val="000000" w:themeColor="text1"/>
          <w:sz w:val="22"/>
          <w:szCs w:val="22"/>
          <w:lang w:val="en-US"/>
        </w:rPr>
        <w:t xml:space="preserve">History of the Present Illness: </w:t>
      </w:r>
    </w:p>
    <w:p w14:paraId="57EE4E68" w14:textId="77777777" w:rsidR="00051C23" w:rsidRDefault="00051C23" w:rsidP="00051C23">
      <w:pPr>
        <w:spacing w:line="360" w:lineRule="auto"/>
        <w:jc w:val="both"/>
        <w:outlineLvl w:val="0"/>
        <w:rPr>
          <w:rFonts w:ascii="Arial" w:eastAsia="Arial Unicode MS" w:hAnsi="Arial" w:cs="Arial"/>
          <w:color w:val="000000" w:themeColor="text1"/>
          <w:sz w:val="22"/>
          <w:szCs w:val="22"/>
          <w:lang w:val="en-US"/>
        </w:rPr>
      </w:pPr>
      <w:r>
        <w:rPr>
          <w:rFonts w:ascii="Arial" w:eastAsia="Arial Unicode MS" w:hAnsi="Arial" w:cs="Arial"/>
          <w:color w:val="000000" w:themeColor="text1"/>
          <w:sz w:val="22"/>
          <w:szCs w:val="22"/>
          <w:lang w:val="en-US"/>
        </w:rPr>
        <w:t>Our</w:t>
      </w:r>
      <w:r w:rsidRPr="00676A6B">
        <w:rPr>
          <w:rFonts w:ascii="Arial" w:eastAsia="Arial Unicode MS" w:hAnsi="Arial" w:cs="Arial"/>
          <w:color w:val="000000" w:themeColor="text1"/>
          <w:sz w:val="22"/>
          <w:szCs w:val="22"/>
          <w:lang w:val="en-US"/>
        </w:rPr>
        <w:t xml:space="preserve"> patient presented to </w:t>
      </w:r>
      <w:r>
        <w:rPr>
          <w:rFonts w:ascii="Arial" w:eastAsia="Arial Unicode MS" w:hAnsi="Arial" w:cs="Arial"/>
          <w:color w:val="000000" w:themeColor="text1"/>
          <w:sz w:val="22"/>
          <w:szCs w:val="22"/>
          <w:lang w:val="en-US"/>
        </w:rPr>
        <w:t>the</w:t>
      </w:r>
      <w:r w:rsidRPr="00676A6B">
        <w:rPr>
          <w:rFonts w:ascii="Arial" w:eastAsia="Arial Unicode MS" w:hAnsi="Arial" w:cs="Arial"/>
          <w:color w:val="000000" w:themeColor="text1"/>
          <w:sz w:val="22"/>
          <w:szCs w:val="22"/>
          <w:lang w:val="en-US"/>
        </w:rPr>
        <w:t xml:space="preserve"> emergency department </w:t>
      </w:r>
      <w:r w:rsidRPr="00DA474B">
        <w:rPr>
          <w:rFonts w:ascii="Arial" w:eastAsia="Arial Unicode MS" w:hAnsi="Arial" w:cs="Arial"/>
          <w:color w:val="000000" w:themeColor="text1"/>
          <w:sz w:val="22"/>
          <w:szCs w:val="22"/>
          <w:lang w:val="en-US"/>
        </w:rPr>
        <w:t xml:space="preserve">with </w:t>
      </w:r>
      <w:r w:rsidRPr="00F00A94">
        <w:rPr>
          <w:rFonts w:ascii="Arial" w:eastAsia="Arial Unicode MS" w:hAnsi="Arial" w:cs="Arial"/>
          <w:color w:val="000000" w:themeColor="text1"/>
          <w:sz w:val="22"/>
          <w:szCs w:val="22"/>
          <w:lang w:val="en-US"/>
        </w:rPr>
        <w:t>initial complaint</w:t>
      </w:r>
      <w:r>
        <w:rPr>
          <w:rFonts w:ascii="Arial" w:eastAsia="Arial Unicode MS" w:hAnsi="Arial" w:cs="Arial"/>
          <w:color w:val="000000" w:themeColor="text1"/>
          <w:sz w:val="22"/>
          <w:szCs w:val="22"/>
          <w:lang w:val="en-US"/>
        </w:rPr>
        <w:t>s o</w:t>
      </w:r>
      <w:r w:rsidRPr="00676A6B">
        <w:rPr>
          <w:rFonts w:ascii="Arial" w:eastAsia="Arial Unicode MS" w:hAnsi="Arial" w:cs="Arial"/>
          <w:color w:val="000000" w:themeColor="text1"/>
          <w:sz w:val="22"/>
          <w:szCs w:val="22"/>
          <w:lang w:val="en-US"/>
        </w:rPr>
        <w:t>f</w:t>
      </w:r>
      <w:r>
        <w:rPr>
          <w:rFonts w:ascii="Arial" w:eastAsia="Arial Unicode MS" w:hAnsi="Arial" w:cs="Arial"/>
          <w:color w:val="000000" w:themeColor="text1"/>
          <w:sz w:val="22"/>
          <w:szCs w:val="22"/>
          <w:lang w:val="en-US"/>
        </w:rPr>
        <w:t xml:space="preserve"> </w:t>
      </w:r>
      <w:r w:rsidRPr="00FF4DF7">
        <w:rPr>
          <w:rFonts w:ascii="Arial" w:eastAsia="Arial Unicode MS" w:hAnsi="Arial" w:cs="Arial"/>
          <w:color w:val="000000" w:themeColor="text1"/>
          <w:sz w:val="22"/>
          <w:szCs w:val="22"/>
          <w:lang w:val="en-US"/>
        </w:rPr>
        <w:t>blurred and bouncing vision,</w:t>
      </w:r>
      <w:r w:rsidRPr="00E7484D">
        <w:rPr>
          <w:rFonts w:ascii="Arial" w:eastAsia="Arial Unicode MS" w:hAnsi="Arial" w:cs="Arial"/>
          <w:color w:val="000000" w:themeColor="text1"/>
          <w:sz w:val="22"/>
          <w:szCs w:val="22"/>
          <w:lang w:val="en-US"/>
        </w:rPr>
        <w:t xml:space="preserve"> </w:t>
      </w:r>
      <w:r w:rsidRPr="006A2A48">
        <w:rPr>
          <w:rFonts w:ascii="Arial" w:eastAsia="Arial Unicode MS" w:hAnsi="Arial" w:cs="Arial"/>
          <w:color w:val="000000" w:themeColor="text1"/>
          <w:sz w:val="22"/>
          <w:szCs w:val="22"/>
          <w:lang w:val="en-US"/>
        </w:rPr>
        <w:t>associated with</w:t>
      </w:r>
      <w:r>
        <w:rPr>
          <w:rFonts w:ascii="Arial" w:eastAsia="Arial Unicode MS" w:hAnsi="Arial" w:cs="Arial"/>
          <w:color w:val="000000" w:themeColor="text1"/>
          <w:sz w:val="22"/>
          <w:szCs w:val="22"/>
          <w:lang w:val="en-US"/>
        </w:rPr>
        <w:t xml:space="preserve"> </w:t>
      </w:r>
      <w:r w:rsidRPr="00A34977">
        <w:rPr>
          <w:rFonts w:ascii="Arial" w:eastAsia="Arial Unicode MS" w:hAnsi="Arial" w:cs="Arial"/>
          <w:color w:val="000000" w:themeColor="text1"/>
          <w:sz w:val="22"/>
          <w:szCs w:val="22"/>
          <w:lang w:val="en-US"/>
        </w:rPr>
        <w:t>non-specific dizziness</w:t>
      </w:r>
      <w:r>
        <w:rPr>
          <w:rFonts w:ascii="Arial" w:eastAsia="Arial Unicode MS" w:hAnsi="Arial" w:cs="Arial"/>
          <w:color w:val="000000" w:themeColor="text1"/>
          <w:sz w:val="22"/>
          <w:szCs w:val="22"/>
          <w:lang w:val="en-US"/>
        </w:rPr>
        <w:t xml:space="preserve"> seven months prior to admission.</w:t>
      </w:r>
      <w:r>
        <w:rPr>
          <w:lang w:val="en-US"/>
        </w:rPr>
        <w:t xml:space="preserve"> </w:t>
      </w:r>
      <w:r>
        <w:rPr>
          <w:rFonts w:ascii="Arial" w:eastAsia="Arial Unicode MS" w:hAnsi="Arial" w:cs="Arial"/>
          <w:color w:val="000000" w:themeColor="text1"/>
          <w:sz w:val="22"/>
          <w:szCs w:val="22"/>
          <w:lang w:val="en-US"/>
        </w:rPr>
        <w:t xml:space="preserve">Her </w:t>
      </w:r>
      <w:r w:rsidRPr="00676A6B">
        <w:rPr>
          <w:rFonts w:ascii="Arial" w:eastAsia="Arial Unicode MS" w:hAnsi="Arial" w:cs="Arial"/>
          <w:color w:val="000000" w:themeColor="text1"/>
          <w:sz w:val="22"/>
          <w:szCs w:val="22"/>
          <w:lang w:val="en-US"/>
        </w:rPr>
        <w:t xml:space="preserve">family members </w:t>
      </w:r>
      <w:r>
        <w:rPr>
          <w:rFonts w:ascii="Arial" w:eastAsia="Arial Unicode MS" w:hAnsi="Arial" w:cs="Arial"/>
          <w:color w:val="000000" w:themeColor="text1"/>
          <w:sz w:val="22"/>
          <w:szCs w:val="22"/>
          <w:lang w:val="en-US"/>
        </w:rPr>
        <w:t>further</w:t>
      </w:r>
      <w:r w:rsidRPr="00676A6B">
        <w:rPr>
          <w:rFonts w:ascii="Arial" w:eastAsia="Arial Unicode MS" w:hAnsi="Arial" w:cs="Arial"/>
          <w:color w:val="000000" w:themeColor="text1"/>
          <w:sz w:val="22"/>
          <w:szCs w:val="22"/>
          <w:lang w:val="en-US"/>
        </w:rPr>
        <w:t xml:space="preserve"> </w:t>
      </w:r>
      <w:r>
        <w:rPr>
          <w:rFonts w:ascii="Arial" w:eastAsia="Arial Unicode MS" w:hAnsi="Arial" w:cs="Arial"/>
          <w:color w:val="000000" w:themeColor="text1"/>
          <w:sz w:val="22"/>
          <w:szCs w:val="22"/>
          <w:lang w:val="en-US"/>
        </w:rPr>
        <w:t>noted</w:t>
      </w:r>
      <w:r w:rsidRPr="00676A6B">
        <w:rPr>
          <w:rFonts w:ascii="Arial" w:eastAsia="Arial Unicode MS" w:hAnsi="Arial" w:cs="Arial"/>
          <w:color w:val="000000" w:themeColor="text1"/>
          <w:sz w:val="22"/>
          <w:szCs w:val="22"/>
          <w:lang w:val="en-US"/>
        </w:rPr>
        <w:t xml:space="preserve"> chaotic eye movement </w:t>
      </w:r>
      <w:r>
        <w:rPr>
          <w:rFonts w:ascii="Arial" w:eastAsia="Arial Unicode MS" w:hAnsi="Arial" w:cs="Arial"/>
          <w:color w:val="000000" w:themeColor="text1"/>
          <w:sz w:val="22"/>
          <w:szCs w:val="22"/>
          <w:lang w:val="en-US"/>
        </w:rPr>
        <w:t xml:space="preserve">and </w:t>
      </w:r>
      <w:r w:rsidRPr="00774DA6">
        <w:rPr>
          <w:rFonts w:ascii="Arial" w:eastAsia="Arial Unicode MS" w:hAnsi="Arial" w:cs="Arial"/>
          <w:color w:val="000000" w:themeColor="text1"/>
          <w:sz w:val="22"/>
          <w:szCs w:val="22"/>
          <w:lang w:val="en-US"/>
        </w:rPr>
        <w:t>occasional</w:t>
      </w:r>
      <w:r>
        <w:rPr>
          <w:rFonts w:ascii="Arial" w:eastAsia="Arial Unicode MS" w:hAnsi="Arial" w:cs="Arial"/>
          <w:color w:val="000000" w:themeColor="text1"/>
          <w:sz w:val="22"/>
          <w:szCs w:val="22"/>
          <w:lang w:val="en-US"/>
        </w:rPr>
        <w:t xml:space="preserve"> </w:t>
      </w:r>
      <w:r w:rsidRPr="00676A6B">
        <w:rPr>
          <w:rFonts w:ascii="Arial" w:eastAsia="Arial Unicode MS" w:hAnsi="Arial" w:cs="Arial"/>
          <w:color w:val="000000" w:themeColor="text1"/>
          <w:sz w:val="22"/>
          <w:szCs w:val="22"/>
          <w:lang w:val="en-US"/>
        </w:rPr>
        <w:t>abrupt flexion jerks of the head</w:t>
      </w:r>
      <w:r>
        <w:rPr>
          <w:rFonts w:ascii="Arial" w:eastAsia="Arial Unicode MS" w:hAnsi="Arial" w:cs="Arial"/>
          <w:color w:val="000000" w:themeColor="text1"/>
          <w:sz w:val="22"/>
          <w:szCs w:val="22"/>
          <w:lang w:val="en-US"/>
        </w:rPr>
        <w:t>. Over a few weeks, she</w:t>
      </w:r>
      <w:r w:rsidRPr="00D82CAE">
        <w:rPr>
          <w:rFonts w:ascii="Arial" w:eastAsia="Arial Unicode MS" w:hAnsi="Arial" w:cs="Arial"/>
          <w:color w:val="000000" w:themeColor="text1"/>
          <w:sz w:val="22"/>
          <w:szCs w:val="22"/>
          <w:lang w:val="en-US"/>
        </w:rPr>
        <w:t xml:space="preserve"> developed</w:t>
      </w:r>
      <w:r>
        <w:rPr>
          <w:rFonts w:ascii="Arial" w:eastAsia="Arial Unicode MS" w:hAnsi="Arial" w:cs="Arial"/>
          <w:color w:val="000000" w:themeColor="text1"/>
          <w:sz w:val="22"/>
          <w:szCs w:val="22"/>
          <w:lang w:val="en-US"/>
        </w:rPr>
        <w:t xml:space="preserve"> </w:t>
      </w:r>
      <w:r w:rsidRPr="00ED72D5">
        <w:rPr>
          <w:rFonts w:ascii="Arial" w:eastAsia="Arial Unicode MS" w:hAnsi="Arial" w:cs="Arial"/>
          <w:color w:val="000000" w:themeColor="text1"/>
          <w:sz w:val="22"/>
          <w:szCs w:val="22"/>
          <w:lang w:val="en-US"/>
        </w:rPr>
        <w:t>recurrent episodes of nausea and vomiting</w:t>
      </w:r>
      <w:r>
        <w:rPr>
          <w:rFonts w:ascii="Arial" w:eastAsia="Arial Unicode MS" w:hAnsi="Arial" w:cs="Arial"/>
          <w:color w:val="000000" w:themeColor="text1"/>
          <w:sz w:val="22"/>
          <w:szCs w:val="22"/>
          <w:lang w:val="en-US"/>
        </w:rPr>
        <w:t xml:space="preserve">, and was </w:t>
      </w:r>
      <w:r w:rsidRPr="00014726">
        <w:rPr>
          <w:rFonts w:ascii="Arial" w:eastAsia="Arial Unicode MS" w:hAnsi="Arial" w:cs="Arial"/>
          <w:color w:val="000000" w:themeColor="text1"/>
          <w:sz w:val="22"/>
          <w:szCs w:val="22"/>
          <w:lang w:val="en-US"/>
        </w:rPr>
        <w:t>evaluated in several institutions for these problems but no specific diagnosis was made.</w:t>
      </w:r>
      <w:r>
        <w:rPr>
          <w:rFonts w:ascii="Arial" w:eastAsia="Arial Unicode MS" w:hAnsi="Arial" w:cs="Arial"/>
          <w:color w:val="000000" w:themeColor="text1"/>
          <w:sz w:val="22"/>
          <w:szCs w:val="22"/>
          <w:lang w:val="en-US"/>
        </w:rPr>
        <w:t xml:space="preserve"> </w:t>
      </w:r>
    </w:p>
    <w:p w14:paraId="6C42C95D" w14:textId="77777777" w:rsidR="00051C23" w:rsidRDefault="00051C23" w:rsidP="00051C23">
      <w:pPr>
        <w:spacing w:line="360" w:lineRule="auto"/>
        <w:jc w:val="both"/>
        <w:outlineLvl w:val="0"/>
        <w:rPr>
          <w:rFonts w:ascii="Arial" w:eastAsia="Arial Unicode MS" w:hAnsi="Arial" w:cs="Arial"/>
          <w:color w:val="000000" w:themeColor="text1"/>
          <w:sz w:val="22"/>
          <w:szCs w:val="22"/>
          <w:lang w:val="en-US"/>
        </w:rPr>
      </w:pPr>
    </w:p>
    <w:p w14:paraId="5933EFF7" w14:textId="77777777" w:rsidR="00051C23" w:rsidRDefault="00051C23" w:rsidP="00051C23">
      <w:pPr>
        <w:spacing w:line="360" w:lineRule="auto"/>
        <w:jc w:val="both"/>
        <w:outlineLvl w:val="0"/>
        <w:rPr>
          <w:rFonts w:ascii="Arial" w:eastAsia="Arial Unicode MS" w:hAnsi="Arial" w:cs="Arial"/>
          <w:color w:val="000000" w:themeColor="text1"/>
          <w:sz w:val="22"/>
          <w:szCs w:val="22"/>
          <w:lang w:val="en-US"/>
        </w:rPr>
      </w:pPr>
      <w:r>
        <w:rPr>
          <w:rFonts w:ascii="Arial" w:eastAsia="Arial Unicode MS" w:hAnsi="Arial" w:cs="Arial"/>
          <w:color w:val="000000" w:themeColor="text1"/>
          <w:sz w:val="22"/>
          <w:szCs w:val="22"/>
          <w:lang w:val="en-US"/>
        </w:rPr>
        <w:t>Four months before presentation</w:t>
      </w:r>
      <w:r w:rsidRPr="00B619FF">
        <w:rPr>
          <w:rFonts w:ascii="Arial" w:eastAsia="Arial Unicode MS" w:hAnsi="Arial" w:cs="Arial"/>
          <w:color w:val="000000" w:themeColor="text1"/>
          <w:sz w:val="22"/>
          <w:szCs w:val="22"/>
          <w:lang w:val="en-US"/>
        </w:rPr>
        <w:t xml:space="preserve">, </w:t>
      </w:r>
      <w:r w:rsidRPr="00A0768E">
        <w:rPr>
          <w:rFonts w:ascii="Arial" w:eastAsia="Arial Unicode MS" w:hAnsi="Arial" w:cs="Arial"/>
          <w:color w:val="000000" w:themeColor="text1"/>
          <w:sz w:val="22"/>
          <w:szCs w:val="22"/>
          <w:lang w:val="en-US"/>
        </w:rPr>
        <w:t xml:space="preserve">the patient </w:t>
      </w:r>
      <w:r w:rsidRPr="009C6DD6">
        <w:rPr>
          <w:rFonts w:ascii="Arial" w:eastAsia="Arial Unicode MS" w:hAnsi="Arial" w:cs="Arial"/>
          <w:color w:val="000000" w:themeColor="text1"/>
          <w:sz w:val="22"/>
          <w:szCs w:val="22"/>
          <w:lang w:val="en-US"/>
        </w:rPr>
        <w:t xml:space="preserve">developed </w:t>
      </w:r>
      <w:r w:rsidRPr="00A0768E">
        <w:rPr>
          <w:rFonts w:ascii="Arial" w:eastAsia="Arial Unicode MS" w:hAnsi="Arial" w:cs="Arial"/>
          <w:color w:val="000000" w:themeColor="text1"/>
          <w:sz w:val="22"/>
          <w:szCs w:val="22"/>
          <w:lang w:val="en-US"/>
        </w:rPr>
        <w:t>a subacute onset of imbalance and gait disturbance</w:t>
      </w:r>
      <w:r>
        <w:rPr>
          <w:rFonts w:ascii="Arial" w:eastAsia="Arial Unicode MS" w:hAnsi="Arial" w:cs="Arial"/>
          <w:color w:val="000000" w:themeColor="text1"/>
          <w:sz w:val="22"/>
          <w:szCs w:val="22"/>
          <w:lang w:val="en-US"/>
        </w:rPr>
        <w:t>, followed</w:t>
      </w:r>
      <w:r w:rsidRPr="00676A6B">
        <w:rPr>
          <w:rFonts w:ascii="Arial" w:eastAsia="Arial Unicode MS" w:hAnsi="Arial" w:cs="Arial"/>
          <w:color w:val="000000" w:themeColor="text1"/>
          <w:sz w:val="22"/>
          <w:szCs w:val="22"/>
          <w:lang w:val="en-US"/>
        </w:rPr>
        <w:t xml:space="preserve"> by irritability and anterograde amnesia. A 16 kg weight loss was also reported, which she attributed to poor appetite due to persistent nausea. </w:t>
      </w:r>
      <w:r w:rsidRPr="003F3F05">
        <w:rPr>
          <w:rFonts w:ascii="Arial" w:eastAsia="Arial Unicode MS" w:hAnsi="Arial" w:cs="Arial"/>
          <w:color w:val="000000" w:themeColor="text1"/>
          <w:sz w:val="22"/>
          <w:szCs w:val="22"/>
          <w:lang w:val="en-US"/>
        </w:rPr>
        <w:t xml:space="preserve">No history of comorbidities, smoking, alcohol abuse, toxin exposure, recent infection, or vaccination was reported. </w:t>
      </w:r>
      <w:r>
        <w:rPr>
          <w:rFonts w:ascii="Arial" w:eastAsia="Arial Unicode MS" w:hAnsi="Arial" w:cs="Arial"/>
          <w:color w:val="000000" w:themeColor="text1"/>
          <w:sz w:val="22"/>
          <w:szCs w:val="22"/>
          <w:lang w:val="en-US"/>
        </w:rPr>
        <w:t>Her</w:t>
      </w:r>
      <w:r w:rsidRPr="006E4CD3">
        <w:rPr>
          <w:rFonts w:ascii="Arial" w:eastAsia="Arial Unicode MS" w:hAnsi="Arial" w:cs="Arial"/>
          <w:color w:val="000000" w:themeColor="text1"/>
          <w:sz w:val="22"/>
          <w:szCs w:val="22"/>
          <w:lang w:val="en-US"/>
        </w:rPr>
        <w:t xml:space="preserve"> family history was </w:t>
      </w:r>
      <w:r>
        <w:rPr>
          <w:rFonts w:ascii="Arial" w:eastAsia="Arial Unicode MS" w:hAnsi="Arial" w:cs="Arial"/>
          <w:color w:val="000000" w:themeColor="text1"/>
          <w:sz w:val="22"/>
          <w:szCs w:val="22"/>
          <w:lang w:val="en-US"/>
        </w:rPr>
        <w:t xml:space="preserve">also </w:t>
      </w:r>
      <w:r w:rsidRPr="006E4CD3">
        <w:rPr>
          <w:rFonts w:ascii="Arial" w:eastAsia="Arial Unicode MS" w:hAnsi="Arial" w:cs="Arial"/>
          <w:color w:val="000000" w:themeColor="text1"/>
          <w:sz w:val="22"/>
          <w:szCs w:val="22"/>
          <w:lang w:val="en-US"/>
        </w:rPr>
        <w:t>unremarkable.</w:t>
      </w:r>
    </w:p>
    <w:p w14:paraId="3889C83F" w14:textId="77777777" w:rsidR="00051C23" w:rsidRDefault="00051C23" w:rsidP="00051C23">
      <w:pPr>
        <w:spacing w:line="360" w:lineRule="auto"/>
        <w:jc w:val="both"/>
        <w:outlineLvl w:val="0"/>
        <w:rPr>
          <w:rFonts w:ascii="Arial" w:eastAsia="Arial Unicode MS" w:hAnsi="Arial" w:cs="Arial"/>
          <w:color w:val="000000" w:themeColor="text1"/>
          <w:sz w:val="22"/>
          <w:szCs w:val="22"/>
          <w:lang w:val="en-US"/>
        </w:rPr>
      </w:pPr>
    </w:p>
    <w:p w14:paraId="18D3F9D9"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r w:rsidRPr="00163093">
        <w:rPr>
          <w:rFonts w:ascii="Arial" w:eastAsia="Arial Unicode MS" w:hAnsi="Arial" w:cs="Arial"/>
          <w:color w:val="000000" w:themeColor="text1"/>
          <w:sz w:val="22"/>
          <w:szCs w:val="22"/>
          <w:lang w:val="en-US"/>
        </w:rPr>
        <w:t xml:space="preserve">The neurological examination showed </w:t>
      </w:r>
      <w:r w:rsidRPr="00676A6B">
        <w:rPr>
          <w:rFonts w:ascii="Arial" w:eastAsia="Arial Unicode MS" w:hAnsi="Arial" w:cs="Arial"/>
          <w:color w:val="000000" w:themeColor="text1"/>
          <w:sz w:val="22"/>
          <w:szCs w:val="22"/>
          <w:lang w:val="en-US"/>
        </w:rPr>
        <w:t>multidirectional saccadic eye movements with abnormal intersaccadic intervals, mild dysarthria</w:t>
      </w:r>
      <w:r>
        <w:rPr>
          <w:rFonts w:ascii="Arial" w:eastAsia="Arial Unicode MS" w:hAnsi="Arial" w:cs="Arial"/>
          <w:color w:val="000000" w:themeColor="text1"/>
          <w:sz w:val="22"/>
          <w:szCs w:val="22"/>
          <w:lang w:val="en-US"/>
        </w:rPr>
        <w:t xml:space="preserve">, and </w:t>
      </w:r>
      <w:r w:rsidRPr="00676A6B">
        <w:rPr>
          <w:rFonts w:ascii="Arial" w:eastAsia="Arial Unicode MS" w:hAnsi="Arial" w:cs="Arial"/>
          <w:color w:val="000000" w:themeColor="text1"/>
          <w:sz w:val="22"/>
          <w:szCs w:val="22"/>
          <w:lang w:val="en-US"/>
        </w:rPr>
        <w:t>myoclonic jerks in the face and limbs</w:t>
      </w:r>
      <w:r>
        <w:rPr>
          <w:rFonts w:ascii="Arial" w:eastAsia="Arial Unicode MS" w:hAnsi="Arial" w:cs="Arial"/>
          <w:color w:val="000000" w:themeColor="text1"/>
          <w:sz w:val="22"/>
          <w:szCs w:val="22"/>
          <w:lang w:val="en-US"/>
        </w:rPr>
        <w:t xml:space="preserve">. </w:t>
      </w:r>
      <w:r w:rsidRPr="003234E3">
        <w:rPr>
          <w:rFonts w:ascii="Arial" w:eastAsia="Arial Unicode MS" w:hAnsi="Arial" w:cs="Arial"/>
          <w:color w:val="000000" w:themeColor="text1"/>
          <w:sz w:val="22"/>
          <w:szCs w:val="22"/>
          <w:lang w:val="en-US"/>
        </w:rPr>
        <w:t>There were no motor or sensory deficits</w:t>
      </w:r>
      <w:r>
        <w:rPr>
          <w:rFonts w:ascii="Arial" w:eastAsia="Arial Unicode MS" w:hAnsi="Arial" w:cs="Arial"/>
          <w:color w:val="000000" w:themeColor="text1"/>
          <w:sz w:val="22"/>
          <w:szCs w:val="22"/>
          <w:lang w:val="en-US"/>
        </w:rPr>
        <w:t>. T</w:t>
      </w:r>
      <w:r w:rsidRPr="003234E3">
        <w:rPr>
          <w:rFonts w:ascii="Arial" w:eastAsia="Arial Unicode MS" w:hAnsi="Arial" w:cs="Arial"/>
          <w:color w:val="000000" w:themeColor="text1"/>
          <w:sz w:val="22"/>
          <w:szCs w:val="22"/>
          <w:lang w:val="en-US"/>
        </w:rPr>
        <w:t xml:space="preserve">he patient only exhibited hyperreflexia of the left lower extremity with flexor plantar reflex. </w:t>
      </w:r>
      <w:r>
        <w:rPr>
          <w:rFonts w:ascii="Arial" w:eastAsia="Arial Unicode MS" w:hAnsi="Arial" w:cs="Arial"/>
          <w:color w:val="000000" w:themeColor="text1"/>
          <w:sz w:val="22"/>
          <w:szCs w:val="22"/>
          <w:lang w:val="en-US"/>
        </w:rPr>
        <w:t>She had</w:t>
      </w:r>
      <w:r w:rsidRPr="00676A6B">
        <w:rPr>
          <w:rFonts w:ascii="Arial" w:eastAsia="Arial Unicode MS" w:hAnsi="Arial" w:cs="Arial"/>
          <w:color w:val="000000" w:themeColor="text1"/>
          <w:sz w:val="22"/>
          <w:szCs w:val="22"/>
          <w:lang w:val="en-US"/>
        </w:rPr>
        <w:t xml:space="preserve"> left</w:t>
      </w:r>
      <w:r>
        <w:rPr>
          <w:rFonts w:ascii="Arial" w:eastAsia="Arial Unicode MS" w:hAnsi="Arial" w:cs="Arial"/>
          <w:color w:val="000000" w:themeColor="text1"/>
          <w:sz w:val="22"/>
          <w:szCs w:val="22"/>
          <w:lang w:val="en-US"/>
        </w:rPr>
        <w:t>-</w:t>
      </w:r>
      <w:r w:rsidRPr="00676A6B">
        <w:rPr>
          <w:rFonts w:ascii="Arial" w:eastAsia="Arial Unicode MS" w:hAnsi="Arial" w:cs="Arial"/>
          <w:color w:val="000000" w:themeColor="text1"/>
          <w:sz w:val="22"/>
          <w:szCs w:val="22"/>
          <w:lang w:val="en-US"/>
        </w:rPr>
        <w:t>side</w:t>
      </w:r>
      <w:r>
        <w:rPr>
          <w:rFonts w:ascii="Arial" w:eastAsia="Arial Unicode MS" w:hAnsi="Arial" w:cs="Arial"/>
          <w:color w:val="000000" w:themeColor="text1"/>
          <w:sz w:val="22"/>
          <w:szCs w:val="22"/>
          <w:lang w:val="en-US"/>
        </w:rPr>
        <w:t>d</w:t>
      </w:r>
      <w:r w:rsidRPr="00676A6B">
        <w:rPr>
          <w:rFonts w:ascii="Arial" w:eastAsia="Arial Unicode MS" w:hAnsi="Arial" w:cs="Arial"/>
          <w:color w:val="000000" w:themeColor="text1"/>
          <w:sz w:val="22"/>
          <w:szCs w:val="22"/>
          <w:lang w:val="en-US"/>
        </w:rPr>
        <w:t xml:space="preserve"> </w:t>
      </w:r>
      <w:r w:rsidRPr="00D73106">
        <w:rPr>
          <w:rFonts w:ascii="Arial" w:eastAsia="Arial Unicode MS" w:hAnsi="Arial" w:cs="Arial"/>
          <w:color w:val="000000" w:themeColor="text1"/>
          <w:sz w:val="22"/>
          <w:szCs w:val="22"/>
          <w:lang w:val="en-US"/>
        </w:rPr>
        <w:t>dysmetria on finger-to-nose and heel-to-shin tests.</w:t>
      </w:r>
      <w:r>
        <w:rPr>
          <w:rFonts w:ascii="Arial" w:eastAsia="Arial Unicode MS" w:hAnsi="Arial" w:cs="Arial"/>
          <w:color w:val="000000" w:themeColor="text1"/>
          <w:sz w:val="22"/>
          <w:szCs w:val="22"/>
          <w:lang w:val="en-US"/>
        </w:rPr>
        <w:t xml:space="preserve"> </w:t>
      </w:r>
      <w:r w:rsidRPr="003F126D">
        <w:rPr>
          <w:rFonts w:ascii="Arial" w:eastAsia="Arial Unicode MS" w:hAnsi="Arial" w:cs="Arial"/>
          <w:color w:val="000000" w:themeColor="text1"/>
          <w:sz w:val="22"/>
          <w:szCs w:val="22"/>
          <w:lang w:val="en-US"/>
        </w:rPr>
        <w:t xml:space="preserve">Her gait was wide-based and unsteady, requiring assistance for household </w:t>
      </w:r>
      <w:r w:rsidRPr="00051C23">
        <w:rPr>
          <w:rFonts w:ascii="Arial" w:eastAsia="Arial Unicode MS" w:hAnsi="Arial" w:cs="Arial"/>
          <w:color w:val="000000" w:themeColor="text1"/>
          <w:sz w:val="22"/>
          <w:szCs w:val="22"/>
          <w:lang w:val="en-US"/>
        </w:rPr>
        <w:lastRenderedPageBreak/>
        <w:t>level ambulation. She was unable to walk with a tandem gait, and Romberg sign was negative. Systemic examination did not reveal any abnormalities.</w:t>
      </w:r>
    </w:p>
    <w:p w14:paraId="1724AEF6"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p>
    <w:p w14:paraId="7558BE86"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r w:rsidRPr="00051C23">
        <w:rPr>
          <w:rFonts w:ascii="Arial" w:eastAsia="Arial Unicode MS" w:hAnsi="Arial" w:cs="Arial"/>
          <w:color w:val="000000" w:themeColor="text1"/>
          <w:sz w:val="22"/>
          <w:szCs w:val="22"/>
          <w:lang w:val="en-US"/>
        </w:rPr>
        <w:t>Given our patient's opsoclonus, myoclonic jerks, cerebellar ataxia, and behavioral and cognitive changes, a diagnosis of opsoclonus–myoclonus-ataxia syndrome (OMAS) was made and she was evaluated.</w:t>
      </w:r>
    </w:p>
    <w:p w14:paraId="68920C7E"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p>
    <w:p w14:paraId="45F63AAE" w14:textId="77777777" w:rsidR="00051C23" w:rsidRPr="00051C23" w:rsidRDefault="00051C23" w:rsidP="00051C23">
      <w:pPr>
        <w:spacing w:line="360" w:lineRule="auto"/>
        <w:jc w:val="both"/>
        <w:rPr>
          <w:rFonts w:ascii="Arial" w:eastAsia="Arial Unicode MS" w:hAnsi="Arial" w:cs="Arial"/>
          <w:b/>
          <w:bCs/>
          <w:color w:val="000000" w:themeColor="text1"/>
          <w:sz w:val="22"/>
          <w:szCs w:val="22"/>
          <w:lang w:val="en-US"/>
        </w:rPr>
      </w:pPr>
      <w:r w:rsidRPr="00051C23">
        <w:rPr>
          <w:rFonts w:ascii="Arial" w:hAnsi="Arial" w:cs="Arial"/>
          <w:b/>
          <w:bCs/>
          <w:color w:val="000000" w:themeColor="text1"/>
          <w:sz w:val="22"/>
          <w:szCs w:val="22"/>
        </w:rPr>
        <w:t> </w:t>
      </w:r>
      <w:r w:rsidRPr="00051C23">
        <w:rPr>
          <w:rFonts w:ascii="Arial" w:eastAsia="Arial Unicode MS" w:hAnsi="Arial" w:cs="Arial"/>
          <w:b/>
          <w:bCs/>
          <w:color w:val="000000" w:themeColor="text1"/>
          <w:sz w:val="22"/>
          <w:szCs w:val="22"/>
          <w:lang w:val="en-US"/>
        </w:rPr>
        <w:t>Initial diagnostic studies:</w:t>
      </w:r>
    </w:p>
    <w:p w14:paraId="1235F730"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Complete Blood Cell Count:</w:t>
      </w:r>
      <w:r w:rsidRPr="00051C23">
        <w:rPr>
          <w:rFonts w:ascii="Arial" w:eastAsia="Arial Unicode MS" w:hAnsi="Arial" w:cs="Arial"/>
          <w:color w:val="000000" w:themeColor="text1"/>
          <w:sz w:val="22"/>
          <w:szCs w:val="22"/>
          <w:lang w:val="en-US"/>
        </w:rPr>
        <w:t xml:space="preserve"> Hb 12 / WBC 4,500 / </w:t>
      </w:r>
      <w:proofErr w:type="spellStart"/>
      <w:r w:rsidRPr="00051C23">
        <w:rPr>
          <w:rFonts w:ascii="Arial" w:eastAsia="Arial Unicode MS" w:hAnsi="Arial" w:cs="Arial"/>
          <w:color w:val="000000" w:themeColor="text1"/>
          <w:sz w:val="22"/>
          <w:szCs w:val="22"/>
          <w:lang w:val="en-US"/>
        </w:rPr>
        <w:t>Plt</w:t>
      </w:r>
      <w:proofErr w:type="spellEnd"/>
      <w:r w:rsidRPr="00051C23">
        <w:rPr>
          <w:rFonts w:ascii="Arial" w:eastAsia="Arial Unicode MS" w:hAnsi="Arial" w:cs="Arial"/>
          <w:color w:val="000000" w:themeColor="text1"/>
          <w:sz w:val="22"/>
          <w:szCs w:val="22"/>
          <w:lang w:val="en-US"/>
        </w:rPr>
        <w:t xml:space="preserve"> 200,000</w:t>
      </w:r>
    </w:p>
    <w:p w14:paraId="3B5894F9"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Electrolytes:</w:t>
      </w:r>
      <w:r w:rsidRPr="00051C23">
        <w:rPr>
          <w:rFonts w:ascii="Arial" w:eastAsia="Arial Unicode MS" w:hAnsi="Arial" w:cs="Arial"/>
          <w:color w:val="000000" w:themeColor="text1"/>
          <w:sz w:val="22"/>
          <w:szCs w:val="22"/>
          <w:lang w:val="en-US"/>
        </w:rPr>
        <w:t xml:space="preserve"> Sodium 140 / Potassium 4 </w:t>
      </w:r>
    </w:p>
    <w:p w14:paraId="5057F890"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Kidney Function:</w:t>
      </w:r>
      <w:r w:rsidRPr="00051C23">
        <w:rPr>
          <w:rFonts w:ascii="Arial" w:eastAsia="Arial Unicode MS" w:hAnsi="Arial" w:cs="Arial"/>
          <w:color w:val="000000" w:themeColor="text1"/>
          <w:sz w:val="22"/>
          <w:szCs w:val="22"/>
          <w:lang w:val="en-US"/>
        </w:rPr>
        <w:t xml:space="preserve"> </w:t>
      </w:r>
      <w:r w:rsidRPr="00051C23">
        <w:rPr>
          <w:rFonts w:ascii="Arial" w:hAnsi="Arial" w:cs="Arial"/>
          <w:color w:val="000000" w:themeColor="text1"/>
          <w:sz w:val="22"/>
          <w:szCs w:val="22"/>
          <w:shd w:val="clear" w:color="auto" w:fill="FFFFFF"/>
        </w:rPr>
        <w:t>BUN</w:t>
      </w:r>
      <w:r w:rsidRPr="00051C23">
        <w:rPr>
          <w:rFonts w:ascii="Arial" w:hAnsi="Arial" w:cs="Arial"/>
          <w:color w:val="000000" w:themeColor="text1"/>
          <w:sz w:val="22"/>
          <w:szCs w:val="22"/>
          <w:lang w:val="en-US"/>
        </w:rPr>
        <w:t xml:space="preserve"> </w:t>
      </w:r>
      <w:r w:rsidRPr="00051C23">
        <w:rPr>
          <w:rFonts w:ascii="Arial" w:hAnsi="Arial" w:cs="Arial"/>
          <w:color w:val="000000" w:themeColor="text1"/>
          <w:sz w:val="22"/>
          <w:szCs w:val="22"/>
        </w:rPr>
        <w:t>20</w:t>
      </w:r>
      <w:r w:rsidRPr="00051C23">
        <w:rPr>
          <w:rFonts w:ascii="Arial" w:hAnsi="Arial" w:cs="Arial"/>
          <w:color w:val="000000" w:themeColor="text1"/>
          <w:sz w:val="22"/>
          <w:szCs w:val="22"/>
          <w:lang w:val="en-US"/>
        </w:rPr>
        <w:t xml:space="preserve"> /</w:t>
      </w:r>
      <w:r w:rsidRPr="00051C23">
        <w:rPr>
          <w:rFonts w:ascii="Arial" w:hAnsi="Arial" w:cs="Arial"/>
          <w:color w:val="000000" w:themeColor="text1"/>
          <w:sz w:val="22"/>
          <w:szCs w:val="22"/>
        </w:rPr>
        <w:t xml:space="preserve"> Cr </w:t>
      </w:r>
      <w:r w:rsidRPr="00051C23">
        <w:rPr>
          <w:rFonts w:ascii="Arial" w:hAnsi="Arial" w:cs="Arial"/>
          <w:color w:val="000000" w:themeColor="text1"/>
          <w:sz w:val="22"/>
          <w:szCs w:val="22"/>
          <w:lang w:val="en-US"/>
        </w:rPr>
        <w:t>0.8</w:t>
      </w:r>
    </w:p>
    <w:p w14:paraId="59E77990"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Liver Function:</w:t>
      </w:r>
      <w:r w:rsidRPr="00051C23">
        <w:rPr>
          <w:rFonts w:ascii="Arial" w:eastAsia="Arial Unicode MS" w:hAnsi="Arial" w:cs="Arial"/>
          <w:color w:val="000000" w:themeColor="text1"/>
          <w:sz w:val="22"/>
          <w:szCs w:val="22"/>
          <w:lang w:val="en-US"/>
        </w:rPr>
        <w:t xml:space="preserve"> </w:t>
      </w:r>
      <w:r w:rsidRPr="00051C23">
        <w:rPr>
          <w:rFonts w:ascii="Arial" w:hAnsi="Arial" w:cs="Arial"/>
          <w:color w:val="000000" w:themeColor="text1"/>
          <w:sz w:val="22"/>
          <w:szCs w:val="22"/>
          <w:shd w:val="clear" w:color="auto" w:fill="FFFFFF"/>
        </w:rPr>
        <w:t>ALT</w:t>
      </w:r>
      <w:r w:rsidRPr="00051C23">
        <w:rPr>
          <w:rFonts w:ascii="Arial" w:hAnsi="Arial" w:cs="Arial"/>
          <w:color w:val="000000" w:themeColor="text1"/>
          <w:sz w:val="22"/>
          <w:szCs w:val="22"/>
          <w:shd w:val="clear" w:color="auto" w:fill="FFFFFF"/>
          <w:lang w:val="en-US"/>
        </w:rPr>
        <w:t xml:space="preserve"> 13 / AST 12 / ALP 79 / GGT 48 / INR 1.09 / B</w:t>
      </w:r>
      <w:r w:rsidRPr="00051C23">
        <w:rPr>
          <w:rFonts w:ascii="Arial" w:hAnsi="Arial" w:cs="Arial"/>
          <w:color w:val="000000" w:themeColor="text1"/>
          <w:sz w:val="22"/>
          <w:szCs w:val="22"/>
          <w:shd w:val="clear" w:color="auto" w:fill="FFFFFF"/>
        </w:rPr>
        <w:t>ilirubin</w:t>
      </w:r>
      <w:r w:rsidRPr="00051C23">
        <w:rPr>
          <w:rFonts w:ascii="Arial" w:hAnsi="Arial" w:cs="Arial"/>
          <w:color w:val="000000" w:themeColor="text1"/>
          <w:sz w:val="22"/>
          <w:szCs w:val="22"/>
          <w:lang w:val="en-US"/>
        </w:rPr>
        <w:t xml:space="preserve"> 0.38 / Albumin 4.1</w:t>
      </w:r>
    </w:p>
    <w:p w14:paraId="202F6D92"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Inflammation Markers:</w:t>
      </w:r>
      <w:r w:rsidRPr="00051C23">
        <w:rPr>
          <w:rFonts w:ascii="Arial" w:eastAsia="Arial Unicode MS" w:hAnsi="Arial" w:cs="Arial"/>
          <w:color w:val="000000" w:themeColor="text1"/>
          <w:sz w:val="22"/>
          <w:szCs w:val="22"/>
          <w:lang w:val="en-US"/>
        </w:rPr>
        <w:t xml:space="preserve"> CRP 4 / ESR 5</w:t>
      </w:r>
    </w:p>
    <w:p w14:paraId="568B2EDD"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Brain CT:</w:t>
      </w:r>
      <w:r w:rsidRPr="00051C23">
        <w:rPr>
          <w:rFonts w:ascii="Arial" w:eastAsia="Arial Unicode MS" w:hAnsi="Arial" w:cs="Arial"/>
          <w:color w:val="000000" w:themeColor="text1"/>
          <w:sz w:val="22"/>
          <w:szCs w:val="22"/>
          <w:lang w:val="en-US"/>
        </w:rPr>
        <w:t xml:space="preserve"> No abnormality was noted.</w:t>
      </w:r>
    </w:p>
    <w:p w14:paraId="3491B04C" w14:textId="77777777" w:rsidR="00051C23" w:rsidRPr="00051C23" w:rsidRDefault="00051C23" w:rsidP="00051C23">
      <w:pPr>
        <w:spacing w:line="360" w:lineRule="auto"/>
        <w:jc w:val="both"/>
        <w:rPr>
          <w:rFonts w:ascii="Arial" w:eastAsia="Arial Unicode MS" w:hAnsi="Arial" w:cs="Arial"/>
          <w:color w:val="000000" w:themeColor="text1"/>
          <w:sz w:val="22"/>
          <w:szCs w:val="22"/>
          <w:lang w:val="en-US"/>
        </w:rPr>
      </w:pPr>
    </w:p>
    <w:p w14:paraId="54252F8C" w14:textId="77777777" w:rsidR="00051C23" w:rsidRPr="00051C23" w:rsidRDefault="00051C23" w:rsidP="00051C23">
      <w:pPr>
        <w:pStyle w:val="NormalWeb"/>
        <w:spacing w:before="0" w:beforeAutospacing="0" w:after="0" w:afterAutospacing="0"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color w:val="000000" w:themeColor="text1"/>
          <w:sz w:val="22"/>
          <w:szCs w:val="22"/>
          <w:lang w:val="en-US"/>
        </w:rPr>
        <w:t>Due to the broad range of differential diagnoses, she underwent extensive workup for malignant, infectious, and immunologic diseases.</w:t>
      </w:r>
    </w:p>
    <w:p w14:paraId="319DE2D4" w14:textId="77777777" w:rsidR="00051C23" w:rsidRPr="00051C23" w:rsidRDefault="00051C23" w:rsidP="00051C23">
      <w:pPr>
        <w:pStyle w:val="NormalWeb"/>
        <w:spacing w:before="0" w:beforeAutospacing="0" w:after="0" w:afterAutospacing="0" w:line="360" w:lineRule="auto"/>
        <w:jc w:val="both"/>
        <w:rPr>
          <w:rFonts w:ascii="Arial" w:eastAsia="Arial Unicode MS" w:hAnsi="Arial" w:cs="Arial"/>
          <w:color w:val="000000" w:themeColor="text1"/>
          <w:sz w:val="22"/>
          <w:szCs w:val="22"/>
          <w:lang w:val="en-US"/>
        </w:rPr>
      </w:pPr>
    </w:p>
    <w:p w14:paraId="1113B81C" w14:textId="77777777" w:rsidR="00051C23" w:rsidRPr="00051C23" w:rsidRDefault="00051C23" w:rsidP="00051C23">
      <w:pPr>
        <w:pStyle w:val="NormalWeb"/>
        <w:spacing w:before="0" w:beforeAutospacing="0" w:after="0" w:afterAutospacing="0"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Complementary Tests:</w:t>
      </w:r>
    </w:p>
    <w:p w14:paraId="3C8ABC86"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Serological testing:</w:t>
      </w:r>
      <w:r w:rsidRPr="00051C23">
        <w:rPr>
          <w:rFonts w:ascii="Arial" w:eastAsia="Arial Unicode MS" w:hAnsi="Arial" w:cs="Arial"/>
          <w:color w:val="000000" w:themeColor="text1"/>
          <w:sz w:val="22"/>
          <w:szCs w:val="22"/>
          <w:lang w:val="en-US"/>
        </w:rPr>
        <w:t xml:space="preserve"> Tests for anti-HIV 1/2, HBsAg, VDRL and anti-HCV were all negative.</w:t>
      </w:r>
    </w:p>
    <w:p w14:paraId="316F3CEB"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Immunological parameters:</w:t>
      </w:r>
      <w:r w:rsidRPr="00051C23">
        <w:rPr>
          <w:rFonts w:ascii="Arial" w:eastAsia="Arial Unicode MS" w:hAnsi="Arial" w:cs="Arial"/>
          <w:color w:val="000000" w:themeColor="text1"/>
          <w:sz w:val="22"/>
          <w:szCs w:val="22"/>
          <w:lang w:val="en-US"/>
        </w:rPr>
        <w:t xml:space="preserve"> Complement serum levels (CH50, C3, C4), anti- nuclear antibody (ANA), positive anti-double stranded DNA (anti-ds DNA), rheumatoid factor (RF), anti-aquaporin-4 antibody (AQP4) and anti-myelin oligodendrocyte glycoprotein antibody (MOG) were unremarkable.</w:t>
      </w:r>
    </w:p>
    <w:p w14:paraId="1380CDDA"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CSF analyses:</w:t>
      </w:r>
      <w:r w:rsidRPr="00051C23">
        <w:rPr>
          <w:rFonts w:ascii="Arial" w:eastAsia="Arial Unicode MS" w:hAnsi="Arial" w:cs="Arial"/>
          <w:color w:val="000000" w:themeColor="text1"/>
          <w:sz w:val="22"/>
          <w:szCs w:val="22"/>
          <w:lang w:val="en-US"/>
        </w:rPr>
        <w:t xml:space="preserve"> Glucose 58 / Protein 23.9 / WBC count 2.3 / IgG index 3.8. </w:t>
      </w:r>
    </w:p>
    <w:p w14:paraId="4F65ECCD" w14:textId="77777777" w:rsidR="00051C23" w:rsidRPr="00051C23" w:rsidRDefault="00051C23" w:rsidP="00051C23">
      <w:pPr>
        <w:pStyle w:val="ListParagraph"/>
        <w:numPr>
          <w:ilvl w:val="0"/>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Screening for Malignant Neoplasms:</w:t>
      </w:r>
      <w:r w:rsidRPr="00051C23">
        <w:rPr>
          <w:rFonts w:ascii="Arial" w:eastAsia="Arial Unicode MS" w:hAnsi="Arial" w:cs="Arial"/>
          <w:color w:val="000000" w:themeColor="text1"/>
          <w:sz w:val="22"/>
          <w:szCs w:val="22"/>
          <w:lang w:val="en-US"/>
        </w:rPr>
        <w:t xml:space="preserve"> </w:t>
      </w:r>
    </w:p>
    <w:p w14:paraId="143A4EB0" w14:textId="77777777" w:rsidR="00051C23" w:rsidRPr="00051C23" w:rsidRDefault="00051C23" w:rsidP="00051C23">
      <w:pPr>
        <w:pStyle w:val="ListParagraph"/>
        <w:numPr>
          <w:ilvl w:val="1"/>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color w:val="000000" w:themeColor="text1"/>
          <w:sz w:val="22"/>
          <w:szCs w:val="22"/>
          <w:lang w:val="en-US"/>
        </w:rPr>
        <w:t>Serum tumor markers (alpha-fetoprotein, beta-</w:t>
      </w:r>
      <w:proofErr w:type="spellStart"/>
      <w:r w:rsidRPr="00051C23">
        <w:rPr>
          <w:rFonts w:ascii="Arial" w:eastAsia="Arial Unicode MS" w:hAnsi="Arial" w:cs="Arial"/>
          <w:color w:val="000000" w:themeColor="text1"/>
          <w:sz w:val="22"/>
          <w:szCs w:val="22"/>
          <w:lang w:val="en-US"/>
        </w:rPr>
        <w:t>hCG</w:t>
      </w:r>
      <w:proofErr w:type="spellEnd"/>
      <w:r w:rsidRPr="00051C23">
        <w:rPr>
          <w:rFonts w:ascii="Arial" w:eastAsia="Arial Unicode MS" w:hAnsi="Arial" w:cs="Arial"/>
          <w:color w:val="000000" w:themeColor="text1"/>
          <w:sz w:val="22"/>
          <w:szCs w:val="22"/>
          <w:lang w:val="en-US"/>
        </w:rPr>
        <w:t>, CEA, CA19-9, CA 15-3, and CA-125) were all within the normal range.</w:t>
      </w:r>
    </w:p>
    <w:p w14:paraId="1BE98417" w14:textId="77777777" w:rsidR="00051C23" w:rsidRPr="00051C23" w:rsidRDefault="00051C23" w:rsidP="00051C23">
      <w:pPr>
        <w:pStyle w:val="ListParagraph"/>
        <w:numPr>
          <w:ilvl w:val="1"/>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color w:val="000000" w:themeColor="text1"/>
          <w:sz w:val="22"/>
          <w:szCs w:val="22"/>
          <w:lang w:val="en-US"/>
        </w:rPr>
        <w:t xml:space="preserve">Transvaginal and thyroid ultrasound examination, thoracoabdominal-pelvic computed tomographic scan, breast magnetic resonance imaging (MRI), and upper gastrointestinal endoscopy were normal. </w:t>
      </w:r>
    </w:p>
    <w:p w14:paraId="687D2B23" w14:textId="77777777" w:rsidR="00051C23" w:rsidRPr="00051C23" w:rsidRDefault="00051C23" w:rsidP="00051C23">
      <w:pPr>
        <w:pStyle w:val="ListParagraph"/>
        <w:numPr>
          <w:ilvl w:val="1"/>
          <w:numId w:val="1"/>
        </w:numPr>
        <w:spacing w:line="360" w:lineRule="auto"/>
        <w:jc w:val="both"/>
        <w:rPr>
          <w:rFonts w:ascii="Arial" w:eastAsia="Arial Unicode MS" w:hAnsi="Arial" w:cs="Arial"/>
          <w:color w:val="000000" w:themeColor="text1"/>
          <w:sz w:val="22"/>
          <w:szCs w:val="22"/>
          <w:lang w:val="en-US"/>
        </w:rPr>
      </w:pPr>
      <w:r w:rsidRPr="00051C23">
        <w:rPr>
          <w:rFonts w:ascii="Arial" w:eastAsia="Arial Unicode MS" w:hAnsi="Arial" w:cs="Arial"/>
          <w:color w:val="000000" w:themeColor="text1"/>
          <w:sz w:val="22"/>
          <w:szCs w:val="22"/>
          <w:lang w:val="en-US"/>
        </w:rPr>
        <w:t>CSF examinations were performed repeatedly, but malignant cells were not detected.</w:t>
      </w:r>
    </w:p>
    <w:p w14:paraId="24ECD42E" w14:textId="77777777" w:rsidR="00051C23" w:rsidRPr="00051C23" w:rsidRDefault="00051C23" w:rsidP="00051C23">
      <w:pPr>
        <w:pStyle w:val="ListParagraph"/>
        <w:numPr>
          <w:ilvl w:val="0"/>
          <w:numId w:val="1"/>
        </w:numPr>
        <w:spacing w:line="360" w:lineRule="auto"/>
        <w:jc w:val="both"/>
        <w:outlineLvl w:val="0"/>
        <w:rPr>
          <w:rFonts w:ascii="Arial" w:eastAsia="Arial Unicode MS" w:hAnsi="Arial" w:cs="Arial"/>
          <w:color w:val="000000" w:themeColor="text1"/>
          <w:sz w:val="22"/>
          <w:szCs w:val="22"/>
          <w:lang w:val="en-US"/>
        </w:rPr>
      </w:pPr>
      <w:r w:rsidRPr="00051C23">
        <w:rPr>
          <w:rFonts w:ascii="Arial" w:eastAsia="Arial Unicode MS" w:hAnsi="Arial" w:cs="Arial"/>
          <w:b/>
          <w:bCs/>
          <w:color w:val="000000" w:themeColor="text1"/>
          <w:sz w:val="22"/>
          <w:szCs w:val="22"/>
          <w:lang w:val="en-US"/>
        </w:rPr>
        <w:t>Brain and spinal cord MRI:</w:t>
      </w:r>
      <w:r w:rsidRPr="00051C23">
        <w:rPr>
          <w:rFonts w:ascii="Arial" w:eastAsia="Arial Unicode MS" w:hAnsi="Arial" w:cs="Arial"/>
          <w:color w:val="000000" w:themeColor="text1"/>
          <w:sz w:val="22"/>
          <w:szCs w:val="22"/>
          <w:lang w:val="en-US"/>
        </w:rPr>
        <w:t xml:space="preserve"> Multiple ovoid T2-hyperintense lesions in the periventricular white matter, perpendicular to the ventricles and involving the corpus </w:t>
      </w:r>
      <w:r w:rsidRPr="00051C23">
        <w:rPr>
          <w:rFonts w:ascii="Arial" w:eastAsia="Arial Unicode MS" w:hAnsi="Arial" w:cs="Arial"/>
          <w:color w:val="000000" w:themeColor="text1"/>
          <w:sz w:val="22"/>
          <w:szCs w:val="22"/>
          <w:lang w:val="en-US"/>
        </w:rPr>
        <w:lastRenderedPageBreak/>
        <w:t xml:space="preserve">callosum, as well as juxtacortical, infratentorial, and cervical cord areas (Figure 1); with both gadolinium-enhancing and non-enhancing lesions. </w:t>
      </w:r>
    </w:p>
    <w:p w14:paraId="2C94A2DB" w14:textId="77777777" w:rsidR="00051C23" w:rsidRPr="00051C23" w:rsidRDefault="00051C23" w:rsidP="00051C23">
      <w:pPr>
        <w:spacing w:line="360" w:lineRule="auto"/>
        <w:jc w:val="both"/>
        <w:outlineLvl w:val="0"/>
        <w:rPr>
          <w:rFonts w:ascii="Arial" w:eastAsia="Arial Unicode MS" w:hAnsi="Arial" w:cs="Arial"/>
          <w:b/>
          <w:bCs/>
          <w:color w:val="000000" w:themeColor="text1"/>
          <w:sz w:val="22"/>
          <w:szCs w:val="22"/>
          <w:lang w:val="en-US"/>
        </w:rPr>
      </w:pPr>
      <w:bookmarkStart w:id="0" w:name="_GoBack"/>
    </w:p>
    <w:bookmarkEnd w:id="0"/>
    <w:p w14:paraId="5D388399"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r w:rsidRPr="00051C23">
        <w:rPr>
          <w:rFonts w:ascii="Arial" w:eastAsia="Arial Unicode MS" w:hAnsi="Arial" w:cs="Arial"/>
          <w:color w:val="000000" w:themeColor="text1"/>
          <w:sz w:val="22"/>
          <w:szCs w:val="22"/>
          <w:lang w:val="en-US"/>
        </w:rPr>
        <w:t xml:space="preserve">Our patient showed no elevated tumor markers, and imaging studies revealed no underlying malignancy. Hence, we considered the paraneoplastic syndrome to be excluded as a differential diagnosis, although the follow-up period was less than two years. Clinical course, laboratory data (including cerebrospinal fluid analyses), and brain imaging findings ruled out other possible etiologies such as </w:t>
      </w:r>
      <w:proofErr w:type="spellStart"/>
      <w:r w:rsidRPr="00051C23">
        <w:rPr>
          <w:rFonts w:ascii="Arial" w:eastAsia="Arial Unicode MS" w:hAnsi="Arial" w:cs="Arial"/>
          <w:color w:val="000000" w:themeColor="text1"/>
          <w:sz w:val="22"/>
          <w:szCs w:val="22"/>
          <w:lang w:val="en-US"/>
        </w:rPr>
        <w:t>parainfectious</w:t>
      </w:r>
      <w:proofErr w:type="spellEnd"/>
      <w:r w:rsidRPr="00051C23">
        <w:rPr>
          <w:rFonts w:ascii="Arial" w:eastAsia="Arial Unicode MS" w:hAnsi="Arial" w:cs="Arial"/>
          <w:color w:val="000000" w:themeColor="text1"/>
          <w:sz w:val="22"/>
          <w:szCs w:val="22"/>
          <w:lang w:val="en-US"/>
        </w:rPr>
        <w:t xml:space="preserve"> syndrome, central nervous system infections, cerebrovascular injury, and toxic-metabolic causes.</w:t>
      </w:r>
    </w:p>
    <w:p w14:paraId="5C1D6ED4"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p>
    <w:p w14:paraId="7031AA95" w14:textId="77777777" w:rsidR="00051C23" w:rsidRPr="00051C23" w:rsidRDefault="00051C23" w:rsidP="00051C23">
      <w:pPr>
        <w:spacing w:line="360" w:lineRule="auto"/>
        <w:jc w:val="both"/>
        <w:outlineLvl w:val="0"/>
        <w:rPr>
          <w:rFonts w:ascii="Arial" w:hAnsi="Arial" w:cs="Arial"/>
          <w:color w:val="000000" w:themeColor="text1"/>
          <w:sz w:val="22"/>
          <w:szCs w:val="22"/>
        </w:rPr>
      </w:pPr>
      <w:r w:rsidRPr="00051C23">
        <w:rPr>
          <w:rFonts w:ascii="Arial" w:eastAsia="Arial Unicode MS" w:hAnsi="Arial" w:cs="Arial"/>
          <w:color w:val="000000" w:themeColor="text1"/>
          <w:sz w:val="22"/>
          <w:szCs w:val="22"/>
          <w:lang w:val="en-US"/>
        </w:rPr>
        <w:t>Reasonable historical evidence of previous relapses, high CSF IgG index and imaging findings were compatible with the revised 2017 McDonald Criteria for dissemination in space and time. Therefore, multiple sclerosis was the final diagnosis, and the neurological symptoms were attributed to it. The patient was treated with intravenous methylprednisolone (</w:t>
      </w:r>
      <w:r w:rsidRPr="00051C23">
        <w:rPr>
          <w:rFonts w:ascii="Arial" w:hAnsi="Arial" w:cs="Arial"/>
          <w:color w:val="000000" w:themeColor="text1"/>
          <w:sz w:val="22"/>
          <w:szCs w:val="22"/>
        </w:rPr>
        <w:t>1g/d)</w:t>
      </w:r>
      <w:r w:rsidRPr="00051C23">
        <w:rPr>
          <w:rFonts w:ascii="Arial" w:eastAsia="Arial Unicode MS" w:hAnsi="Arial" w:cs="Arial"/>
          <w:color w:val="000000" w:themeColor="text1"/>
          <w:sz w:val="22"/>
          <w:szCs w:val="22"/>
          <w:lang w:val="en-US"/>
        </w:rPr>
        <w:t xml:space="preserve"> for five days, and given topiramate for symptom management. Her nausea, walking and balancing abilities improved moderately after initial treatment, and she was </w:t>
      </w:r>
      <w:r w:rsidRPr="00051C23">
        <w:rPr>
          <w:rFonts w:ascii="Arial" w:hAnsi="Arial" w:cs="Arial"/>
          <w:color w:val="000000" w:themeColor="text1"/>
          <w:sz w:val="22"/>
          <w:szCs w:val="22"/>
        </w:rPr>
        <w:t xml:space="preserve">discharged from the hospital. </w:t>
      </w:r>
    </w:p>
    <w:p w14:paraId="3C6A01BA" w14:textId="77777777" w:rsidR="00051C23" w:rsidRPr="00051C23" w:rsidRDefault="00051C23" w:rsidP="00051C23">
      <w:pPr>
        <w:spacing w:line="360" w:lineRule="auto"/>
        <w:jc w:val="both"/>
        <w:outlineLvl w:val="0"/>
        <w:rPr>
          <w:rFonts w:ascii="Arial" w:hAnsi="Arial" w:cs="Arial"/>
          <w:color w:val="000000" w:themeColor="text1"/>
          <w:sz w:val="22"/>
          <w:szCs w:val="22"/>
          <w:lang w:val="en-US"/>
        </w:rPr>
      </w:pPr>
    </w:p>
    <w:p w14:paraId="49D1101D" w14:textId="77777777" w:rsidR="00051C23" w:rsidRPr="00051C23" w:rsidRDefault="00051C23" w:rsidP="00051C23">
      <w:pPr>
        <w:spacing w:line="360" w:lineRule="auto"/>
        <w:jc w:val="both"/>
        <w:outlineLvl w:val="0"/>
        <w:rPr>
          <w:rFonts w:ascii="Arial" w:eastAsia="Arial Unicode MS" w:hAnsi="Arial" w:cs="Arial"/>
          <w:color w:val="000000" w:themeColor="text1"/>
          <w:sz w:val="22"/>
          <w:szCs w:val="22"/>
          <w:lang w:val="en-US"/>
        </w:rPr>
      </w:pPr>
      <w:r w:rsidRPr="00051C23">
        <w:rPr>
          <w:rFonts w:ascii="Arial" w:hAnsi="Arial" w:cs="Arial"/>
          <w:color w:val="000000" w:themeColor="text1"/>
          <w:sz w:val="22"/>
          <w:szCs w:val="22"/>
        </w:rPr>
        <w:t>The patient was started on natalizumab, and she is currently being monitored on an outpatient basis</w:t>
      </w:r>
      <w:r w:rsidRPr="00051C23">
        <w:rPr>
          <w:rFonts w:ascii="Arial" w:hAnsi="Arial" w:cs="Arial"/>
          <w:color w:val="000000" w:themeColor="text1"/>
          <w:sz w:val="22"/>
          <w:szCs w:val="22"/>
          <w:lang w:val="en-US"/>
        </w:rPr>
        <w:t xml:space="preserve">. </w:t>
      </w:r>
      <w:r w:rsidRPr="00051C23">
        <w:rPr>
          <w:rFonts w:ascii="Arial" w:eastAsia="Arial Unicode MS" w:hAnsi="Arial" w:cs="Arial"/>
          <w:color w:val="000000" w:themeColor="text1"/>
          <w:sz w:val="22"/>
          <w:szCs w:val="22"/>
          <w:lang w:val="en-US"/>
        </w:rPr>
        <w:t>The evolution was favorable. Symptoms of nausea and vomiting resolved, and her weight increased to its former level. Patient’s ataxia markedly improved to the extent that she was able to walk independently. She reported some alleviation of oscillopsia, though opsoclonus persisted to the present. Her myoclonus and cognitive impairment have remained stable up to now (Supplementary Video 1). Subsequent follow-up of the patient to date did not show evidence of disease progression.</w:t>
      </w:r>
    </w:p>
    <w:p w14:paraId="30B999A8" w14:textId="77777777" w:rsidR="00106850" w:rsidRDefault="00051C23"/>
    <w:sectPr w:rsidR="00106850" w:rsidSect="004C52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E5A00"/>
    <w:multiLevelType w:val="hybridMultilevel"/>
    <w:tmpl w:val="38F0E2CC"/>
    <w:lvl w:ilvl="0" w:tplc="51080ADA">
      <w:start w:val="2"/>
      <w:numFmt w:val="bullet"/>
      <w:lvlText w:val="-"/>
      <w:lvlJc w:val="left"/>
      <w:pPr>
        <w:ind w:left="720" w:hanging="360"/>
      </w:pPr>
      <w:rPr>
        <w:rFonts w:ascii="Calibri" w:eastAsia="Arial Unicode MS" w:hAnsi="Calibri" w:cs="Calibri" w:hint="default"/>
      </w:rPr>
    </w:lvl>
    <w:lvl w:ilvl="1" w:tplc="51080ADA">
      <w:start w:val="2"/>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23"/>
    <w:rsid w:val="00050DD8"/>
    <w:rsid w:val="00051C23"/>
    <w:rsid w:val="004C52FC"/>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098E02D6"/>
  <w15:chartTrackingRefBased/>
  <w15:docId w15:val="{025EDA7E-5852-A448-943E-19A1B995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3"/>
    <w:pPr>
      <w:ind w:left="720"/>
      <w:contextualSpacing/>
    </w:pPr>
  </w:style>
  <w:style w:type="paragraph" w:styleId="NormalWeb">
    <w:name w:val="Normal (Web)"/>
    <w:basedOn w:val="Normal"/>
    <w:uiPriority w:val="99"/>
    <w:unhideWhenUsed/>
    <w:rsid w:val="00051C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2022-06-21T02:51:00Z</dcterms:created>
  <dcterms:modified xsi:type="dcterms:W3CDTF">2022-06-21T02:53:00Z</dcterms:modified>
</cp:coreProperties>
</file>